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422EFD" w14:textId="2786C137" w:rsidR="003C6090" w:rsidRPr="00143CB6" w:rsidRDefault="00E36994" w:rsidP="00D57B44">
      <w:pPr>
        <w:pStyle w:val="Title"/>
        <w:ind w:right="-1"/>
        <w:rPr>
          <w:rFonts w:asciiTheme="minorHAnsi" w:eastAsia="Calibri" w:hAnsiTheme="minorHAnsi" w:cstheme="minorHAnsi"/>
          <w:sz w:val="22"/>
        </w:rPr>
      </w:pPr>
      <w:bookmarkStart w:id="0" w:name="_Ref497738338"/>
      <w:bookmarkStart w:id="1" w:name="_Toc504737189"/>
      <w:bookmarkStart w:id="2" w:name="_Toc2333225"/>
      <w:r w:rsidRPr="00143CB6">
        <w:rPr>
          <w:rFonts w:asciiTheme="minorHAnsi" w:eastAsia="Calibri" w:hAnsiTheme="minorHAnsi" w:cstheme="minorHAnsi"/>
          <w:b/>
          <w:sz w:val="22"/>
        </w:rPr>
        <w:t xml:space="preserve">Assessment of </w:t>
      </w:r>
      <w:bookmarkEnd w:id="0"/>
      <w:bookmarkEnd w:id="1"/>
      <w:bookmarkEnd w:id="2"/>
      <w:r w:rsidR="002F4A2C" w:rsidRPr="00143CB6">
        <w:rPr>
          <w:rFonts w:asciiTheme="minorHAnsi" w:eastAsia="Calibri" w:hAnsiTheme="minorHAnsi" w:cstheme="minorHAnsi"/>
          <w:b/>
          <w:sz w:val="22"/>
        </w:rPr>
        <w:t>Salmon</w:t>
      </w:r>
      <w:r w:rsidR="000E03D4" w:rsidRPr="00143CB6">
        <w:rPr>
          <w:rFonts w:asciiTheme="minorHAnsi" w:eastAsia="Calibri" w:hAnsiTheme="minorHAnsi" w:cstheme="minorHAnsi"/>
          <w:b/>
          <w:sz w:val="22"/>
        </w:rPr>
        <w:t xml:space="preserve"> (</w:t>
      </w:r>
      <w:r w:rsidR="002F4A2C" w:rsidRPr="00143CB6">
        <w:rPr>
          <w:rFonts w:asciiTheme="minorHAnsi" w:eastAsia="Calibri" w:hAnsiTheme="minorHAnsi" w:cstheme="minorHAnsi"/>
          <w:b/>
          <w:i/>
          <w:sz w:val="22"/>
        </w:rPr>
        <w:t>Salmo salar</w:t>
      </w:r>
      <w:r w:rsidR="000E03D4" w:rsidRPr="00143CB6">
        <w:rPr>
          <w:rFonts w:asciiTheme="minorHAnsi" w:eastAsia="Calibri" w:hAnsiTheme="minorHAnsi" w:cstheme="minorHAnsi"/>
          <w:b/>
          <w:sz w:val="22"/>
        </w:rPr>
        <w:t>)</w:t>
      </w:r>
    </w:p>
    <w:tbl>
      <w:tblPr>
        <w:tblStyle w:val="TableGrid1"/>
        <w:tblW w:w="9821" w:type="dxa"/>
        <w:tblLayout w:type="fixed"/>
        <w:tblLook w:val="04A0" w:firstRow="1" w:lastRow="0" w:firstColumn="1" w:lastColumn="0" w:noHBand="0" w:noVBand="1"/>
      </w:tblPr>
      <w:tblGrid>
        <w:gridCol w:w="2451"/>
        <w:gridCol w:w="7370"/>
      </w:tblGrid>
      <w:tr w:rsidR="0031651C" w:rsidRPr="00143CB6" w14:paraId="2AAF90C9" w14:textId="77777777" w:rsidTr="00437F65">
        <w:tc>
          <w:tcPr>
            <w:tcW w:w="2451" w:type="dxa"/>
            <w:shd w:val="clear" w:color="auto" w:fill="auto"/>
          </w:tcPr>
          <w:p w14:paraId="208267FE"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Content</w:t>
            </w:r>
          </w:p>
        </w:tc>
        <w:tc>
          <w:tcPr>
            <w:tcW w:w="7370" w:type="dxa"/>
            <w:shd w:val="clear" w:color="auto" w:fill="auto"/>
          </w:tcPr>
          <w:p w14:paraId="45DC2CCD"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Guidance</w:t>
            </w:r>
          </w:p>
        </w:tc>
      </w:tr>
      <w:tr w:rsidR="0031651C" w:rsidRPr="00143CB6" w14:paraId="2DF414FB" w14:textId="77777777" w:rsidTr="00437F65">
        <w:tc>
          <w:tcPr>
            <w:tcW w:w="2451" w:type="dxa"/>
          </w:tcPr>
          <w:p w14:paraId="2C524078"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Sheet reference</w:t>
            </w:r>
          </w:p>
        </w:tc>
        <w:tc>
          <w:tcPr>
            <w:tcW w:w="7370" w:type="dxa"/>
          </w:tcPr>
          <w:p w14:paraId="6A800013"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Unique ID in the format:</w:t>
            </w:r>
          </w:p>
          <w:p w14:paraId="68A5712F" w14:textId="7B89693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BDC202</w:t>
            </w:r>
            <w:r w:rsidR="00BA4051">
              <w:rPr>
                <w:rFonts w:asciiTheme="minorHAnsi" w:hAnsiTheme="minorHAnsi" w:cstheme="minorHAnsi"/>
                <w:sz w:val="22"/>
                <w:szCs w:val="22"/>
                <w:lang w:val="en-GB"/>
              </w:rPr>
              <w:t>2</w:t>
            </w:r>
            <w:r w:rsidRPr="00143CB6">
              <w:rPr>
                <w:rFonts w:asciiTheme="minorHAnsi" w:hAnsiTheme="minorHAnsi" w:cstheme="minorHAnsi"/>
                <w:sz w:val="22"/>
                <w:szCs w:val="22"/>
                <w:lang w:val="en-GB"/>
              </w:rPr>
              <w:t>/Atlantic salmon</w:t>
            </w:r>
          </w:p>
        </w:tc>
      </w:tr>
      <w:tr w:rsidR="0031651C" w:rsidRPr="00143CB6" w14:paraId="3FD912DA" w14:textId="77777777" w:rsidTr="00437F65">
        <w:tc>
          <w:tcPr>
            <w:tcW w:w="2451" w:type="dxa"/>
          </w:tcPr>
          <w:p w14:paraId="07D5B329"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Area Assessed</w:t>
            </w:r>
          </w:p>
        </w:tc>
        <w:tc>
          <w:tcPr>
            <w:tcW w:w="7370" w:type="dxa"/>
          </w:tcPr>
          <w:p w14:paraId="2C46D46F"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OSPAR Regions where the species occurs : I, II, III, IV</w:t>
            </w:r>
          </w:p>
          <w:p w14:paraId="0B1BAD6E" w14:textId="032935AA" w:rsidR="0031651C" w:rsidRPr="00143CB6" w:rsidRDefault="0031651C" w:rsidP="00143CB6">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OSPAR Regions where species is under threat and/or decline : I, II, III, IV</w:t>
            </w:r>
          </w:p>
        </w:tc>
      </w:tr>
      <w:tr w:rsidR="0031651C" w:rsidRPr="00143CB6" w14:paraId="723E326C" w14:textId="77777777" w:rsidTr="00437F65">
        <w:tc>
          <w:tcPr>
            <w:tcW w:w="2451" w:type="dxa"/>
            <w:tcBorders>
              <w:bottom w:val="single" w:sz="4" w:space="0" w:color="auto"/>
            </w:tcBorders>
          </w:tcPr>
          <w:p w14:paraId="05B51063"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Title</w:t>
            </w:r>
          </w:p>
        </w:tc>
        <w:tc>
          <w:tcPr>
            <w:tcW w:w="7370" w:type="dxa"/>
            <w:tcBorders>
              <w:bottom w:val="single" w:sz="4" w:space="0" w:color="auto"/>
            </w:tcBorders>
          </w:tcPr>
          <w:p w14:paraId="22C171F9" w14:textId="29F1EF88" w:rsidR="0031651C" w:rsidRPr="00143CB6" w:rsidRDefault="0031651C" w:rsidP="00143CB6">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S</w:t>
            </w:r>
            <w:r w:rsidR="00143CB6">
              <w:rPr>
                <w:rFonts w:asciiTheme="minorHAnsi" w:hAnsiTheme="minorHAnsi" w:cstheme="minorHAnsi"/>
                <w:sz w:val="22"/>
                <w:szCs w:val="22"/>
                <w:lang w:val="en-GB"/>
              </w:rPr>
              <w:t xml:space="preserve">tatus </w:t>
            </w:r>
            <w:r w:rsidR="00C76083">
              <w:rPr>
                <w:rFonts w:asciiTheme="minorHAnsi" w:hAnsiTheme="minorHAnsi" w:cstheme="minorHAnsi"/>
                <w:sz w:val="22"/>
                <w:szCs w:val="22"/>
                <w:lang w:val="en-GB"/>
              </w:rPr>
              <w:t>A</w:t>
            </w:r>
            <w:r w:rsidRPr="00143CB6">
              <w:rPr>
                <w:rFonts w:asciiTheme="minorHAnsi" w:hAnsiTheme="minorHAnsi" w:cstheme="minorHAnsi"/>
                <w:sz w:val="22"/>
                <w:szCs w:val="22"/>
                <w:lang w:val="en-GB"/>
              </w:rPr>
              <w:t xml:space="preserve">ssessment </w:t>
            </w:r>
            <w:r w:rsidR="00C76083">
              <w:rPr>
                <w:rFonts w:asciiTheme="minorHAnsi" w:hAnsiTheme="minorHAnsi" w:cstheme="minorHAnsi"/>
                <w:sz w:val="22"/>
                <w:szCs w:val="22"/>
                <w:lang w:val="en-GB"/>
              </w:rPr>
              <w:t>2022 -</w:t>
            </w:r>
            <w:r w:rsidRPr="00143CB6">
              <w:rPr>
                <w:rFonts w:asciiTheme="minorHAnsi" w:hAnsiTheme="minorHAnsi" w:cstheme="minorHAnsi"/>
                <w:sz w:val="22"/>
                <w:szCs w:val="22"/>
                <w:lang w:val="en-GB"/>
              </w:rPr>
              <w:t xml:space="preserve"> Atlantic </w:t>
            </w:r>
            <w:r w:rsidR="008B6B9F">
              <w:rPr>
                <w:rFonts w:asciiTheme="minorHAnsi" w:hAnsiTheme="minorHAnsi" w:cstheme="minorHAnsi"/>
                <w:sz w:val="22"/>
                <w:szCs w:val="22"/>
                <w:lang w:val="en-GB"/>
              </w:rPr>
              <w:t>s</w:t>
            </w:r>
            <w:r w:rsidRPr="00143CB6">
              <w:rPr>
                <w:rFonts w:asciiTheme="minorHAnsi" w:hAnsiTheme="minorHAnsi" w:cstheme="minorHAnsi"/>
                <w:sz w:val="22"/>
                <w:szCs w:val="22"/>
                <w:lang w:val="en-GB"/>
              </w:rPr>
              <w:t>almon</w:t>
            </w:r>
          </w:p>
        </w:tc>
      </w:tr>
    </w:tbl>
    <w:p w14:paraId="7CA4758C" w14:textId="77777777" w:rsidR="0068150E" w:rsidRDefault="0068150E" w:rsidP="00437F65">
      <w:pPr>
        <w:spacing w:after="120"/>
        <w:jc w:val="both"/>
        <w:rPr>
          <w:rFonts w:asciiTheme="minorHAnsi" w:hAnsiTheme="minorHAnsi" w:cstheme="minorHAnsi"/>
          <w:sz w:val="22"/>
          <w:szCs w:val="22"/>
          <w:lang w:val="en-GB"/>
        </w:rPr>
        <w:sectPr w:rsidR="0068150E" w:rsidSect="002F20D2">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708" w:footer="708" w:gutter="0"/>
          <w:pgNumType w:start="1"/>
          <w:cols w:space="708"/>
          <w:titlePg/>
          <w:docGrid w:linePitch="360"/>
        </w:sectPr>
      </w:pPr>
    </w:p>
    <w:tbl>
      <w:tblPr>
        <w:tblStyle w:val="TableGrid1"/>
        <w:tblW w:w="14879" w:type="dxa"/>
        <w:tblLayout w:type="fixed"/>
        <w:tblLook w:val="04A0" w:firstRow="1" w:lastRow="0" w:firstColumn="1" w:lastColumn="0" w:noHBand="0" w:noVBand="1"/>
      </w:tblPr>
      <w:tblGrid>
        <w:gridCol w:w="2451"/>
        <w:gridCol w:w="12428"/>
      </w:tblGrid>
      <w:tr w:rsidR="0031651C" w:rsidRPr="00143CB6" w14:paraId="7C29D14F" w14:textId="77777777" w:rsidTr="0068150E">
        <w:tc>
          <w:tcPr>
            <w:tcW w:w="2451" w:type="dxa"/>
          </w:tcPr>
          <w:p w14:paraId="62360E9C"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Key message</w:t>
            </w:r>
          </w:p>
          <w:p w14:paraId="4EDB511C" w14:textId="77777777" w:rsidR="0031651C" w:rsidRPr="00143CB6" w:rsidRDefault="0031651C" w:rsidP="00437F65">
            <w:pPr>
              <w:spacing w:after="120"/>
              <w:jc w:val="both"/>
              <w:rPr>
                <w:rFonts w:asciiTheme="minorHAnsi" w:hAnsiTheme="minorHAnsi" w:cstheme="minorHAnsi"/>
                <w:sz w:val="22"/>
                <w:szCs w:val="22"/>
                <w:lang w:val="en-GB"/>
              </w:rPr>
            </w:pPr>
          </w:p>
        </w:tc>
        <w:tc>
          <w:tcPr>
            <w:tcW w:w="12428" w:type="dxa"/>
          </w:tcPr>
          <w:p w14:paraId="3D67C9DB" w14:textId="7004E3BD" w:rsidR="0031651C" w:rsidRPr="00143CB6" w:rsidRDefault="0031651C" w:rsidP="00437F65">
            <w:pPr>
              <w:widowControl w:val="0"/>
              <w:autoSpaceDE w:val="0"/>
              <w:autoSpaceDN w:val="0"/>
              <w:spacing w:before="120" w:line="338" w:lineRule="auto"/>
              <w:ind w:left="103" w:right="211"/>
              <w:rPr>
                <w:rFonts w:asciiTheme="minorHAnsi" w:eastAsia="Calibri" w:hAnsiTheme="minorHAnsi" w:cstheme="minorHAnsi"/>
                <w:sz w:val="22"/>
                <w:szCs w:val="22"/>
                <w:lang w:val="en-GB"/>
              </w:rPr>
            </w:pPr>
            <w:r w:rsidRPr="00143CB6">
              <w:rPr>
                <w:rFonts w:asciiTheme="minorHAnsi" w:eastAsia="Calibri" w:hAnsiTheme="minorHAnsi" w:cstheme="minorHAnsi"/>
                <w:sz w:val="22"/>
                <w:szCs w:val="22"/>
                <w:lang w:val="en-GB"/>
              </w:rPr>
              <w:t>The status of Atlantic salmon is still poor in OSPAR Regions I</w:t>
            </w:r>
            <w:r w:rsidR="00B47644">
              <w:rPr>
                <w:rFonts w:asciiTheme="minorHAnsi" w:eastAsia="Calibri" w:hAnsiTheme="minorHAnsi" w:cstheme="minorHAnsi"/>
                <w:sz w:val="22"/>
                <w:szCs w:val="22"/>
                <w:lang w:val="en-GB"/>
              </w:rPr>
              <w:t>, II, III and</w:t>
            </w:r>
            <w:r w:rsidRPr="00143CB6">
              <w:rPr>
                <w:rFonts w:asciiTheme="minorHAnsi" w:eastAsia="Calibri" w:hAnsiTheme="minorHAnsi" w:cstheme="minorHAnsi"/>
                <w:sz w:val="22"/>
                <w:szCs w:val="22"/>
                <w:lang w:val="en-GB"/>
              </w:rPr>
              <w:t xml:space="preserve"> IV. Its range of distribution has remained stable </w:t>
            </w:r>
            <w:r w:rsidR="008A5E3B">
              <w:rPr>
                <w:rFonts w:asciiTheme="minorHAnsi" w:eastAsia="Calibri" w:hAnsiTheme="minorHAnsi" w:cstheme="minorHAnsi"/>
                <w:sz w:val="22"/>
                <w:szCs w:val="22"/>
                <w:lang w:val="en-GB"/>
              </w:rPr>
              <w:t>for</w:t>
            </w:r>
            <w:r w:rsidRPr="00143CB6">
              <w:rPr>
                <w:rFonts w:asciiTheme="minorHAnsi" w:eastAsia="Calibri" w:hAnsiTheme="minorHAnsi" w:cstheme="minorHAnsi"/>
                <w:sz w:val="22"/>
                <w:szCs w:val="22"/>
                <w:lang w:val="en-GB"/>
              </w:rPr>
              <w:t xml:space="preserve"> the past decade</w:t>
            </w:r>
            <w:r w:rsidR="008A5E3B">
              <w:rPr>
                <w:rFonts w:asciiTheme="minorHAnsi" w:eastAsia="Calibri" w:hAnsiTheme="minorHAnsi" w:cstheme="minorHAnsi"/>
                <w:sz w:val="22"/>
                <w:szCs w:val="22"/>
                <w:lang w:val="en-GB"/>
              </w:rPr>
              <w:t>,</w:t>
            </w:r>
            <w:r w:rsidRPr="00143CB6">
              <w:rPr>
                <w:rFonts w:asciiTheme="minorHAnsi" w:eastAsia="Calibri" w:hAnsiTheme="minorHAnsi" w:cstheme="minorHAnsi"/>
                <w:sz w:val="22"/>
                <w:szCs w:val="22"/>
                <w:lang w:val="en-GB"/>
              </w:rPr>
              <w:t xml:space="preserve"> but abundance and condition are often decreasing. While historical key threats were increasingly affecting populations in the past, </w:t>
            </w:r>
            <w:r w:rsidR="00827925">
              <w:rPr>
                <w:rFonts w:asciiTheme="minorHAnsi" w:eastAsia="Calibri" w:hAnsiTheme="minorHAnsi" w:cstheme="minorHAnsi"/>
                <w:sz w:val="22"/>
                <w:szCs w:val="22"/>
                <w:lang w:val="en-GB"/>
              </w:rPr>
              <w:t>many</w:t>
            </w:r>
            <w:r w:rsidRPr="00143CB6">
              <w:rPr>
                <w:rFonts w:asciiTheme="minorHAnsi" w:eastAsia="Calibri" w:hAnsiTheme="minorHAnsi" w:cstheme="minorHAnsi"/>
                <w:sz w:val="22"/>
                <w:szCs w:val="22"/>
                <w:lang w:val="en-GB"/>
              </w:rPr>
              <w:t xml:space="preserve"> efforts to alleviate their effects have been </w:t>
            </w:r>
            <w:r w:rsidR="00024D58">
              <w:rPr>
                <w:rFonts w:asciiTheme="minorHAnsi" w:eastAsia="Calibri" w:hAnsiTheme="minorHAnsi" w:cstheme="minorHAnsi"/>
                <w:sz w:val="22"/>
                <w:szCs w:val="22"/>
                <w:lang w:val="en-GB"/>
              </w:rPr>
              <w:t>undertaken</w:t>
            </w:r>
            <w:r w:rsidRPr="00143CB6">
              <w:rPr>
                <w:rFonts w:asciiTheme="minorHAnsi" w:eastAsia="Calibri" w:hAnsiTheme="minorHAnsi" w:cstheme="minorHAnsi"/>
                <w:sz w:val="22"/>
                <w:szCs w:val="22"/>
                <w:lang w:val="en-GB"/>
              </w:rPr>
              <w:t xml:space="preserve"> in OSPAR Regions I</w:t>
            </w:r>
            <w:r w:rsidR="00B47644">
              <w:rPr>
                <w:rFonts w:asciiTheme="minorHAnsi" w:eastAsia="Calibri" w:hAnsiTheme="minorHAnsi" w:cstheme="minorHAnsi"/>
                <w:sz w:val="22"/>
                <w:szCs w:val="22"/>
                <w:lang w:val="en-GB"/>
              </w:rPr>
              <w:t xml:space="preserve">, II, III and </w:t>
            </w:r>
            <w:r w:rsidRPr="00143CB6">
              <w:rPr>
                <w:rFonts w:asciiTheme="minorHAnsi" w:eastAsia="Calibri" w:hAnsiTheme="minorHAnsi" w:cstheme="minorHAnsi"/>
                <w:sz w:val="22"/>
                <w:szCs w:val="22"/>
                <w:lang w:val="en-GB"/>
              </w:rPr>
              <w:t>IV and the situation is mostly stable or improving. However, new threats are emerging and expanding (</w:t>
            </w:r>
            <w:r w:rsidRPr="00143CB6">
              <w:rPr>
                <w:rFonts w:asciiTheme="minorHAnsi" w:eastAsia="Calibri" w:hAnsiTheme="minorHAnsi" w:cstheme="minorHAnsi"/>
                <w:i/>
                <w:iCs/>
                <w:sz w:val="22"/>
                <w:szCs w:val="22"/>
                <w:lang w:val="en-GB"/>
              </w:rPr>
              <w:t>e.g.</w:t>
            </w:r>
            <w:r w:rsidRPr="00143CB6">
              <w:rPr>
                <w:rFonts w:asciiTheme="minorHAnsi" w:eastAsia="Calibri" w:hAnsiTheme="minorHAnsi" w:cstheme="minorHAnsi"/>
                <w:sz w:val="22"/>
                <w:szCs w:val="22"/>
                <w:lang w:val="en-GB"/>
              </w:rPr>
              <w:t xml:space="preserve"> climate change) and will be the key challenges faced by managers and scientists in the coming years. </w:t>
            </w:r>
          </w:p>
          <w:p w14:paraId="0DAC799A" w14:textId="35669A6E" w:rsidR="0031651C" w:rsidRPr="00143CB6" w:rsidRDefault="0031651C" w:rsidP="00437F65">
            <w:pPr>
              <w:spacing w:after="120"/>
              <w:jc w:val="both"/>
              <w:rPr>
                <w:rFonts w:asciiTheme="minorHAnsi" w:hAnsiTheme="minorHAnsi" w:cstheme="minorHAnsi"/>
                <w:sz w:val="22"/>
                <w:szCs w:val="22"/>
                <w:lang w:val="en-GB"/>
              </w:rPr>
            </w:pPr>
          </w:p>
          <w:tbl>
            <w:tblPr>
              <w:tblW w:w="7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425"/>
              <w:gridCol w:w="1276"/>
              <w:gridCol w:w="1276"/>
              <w:gridCol w:w="1134"/>
              <w:gridCol w:w="1300"/>
              <w:gridCol w:w="826"/>
            </w:tblGrid>
            <w:tr w:rsidR="0068150E" w:rsidRPr="00850829" w14:paraId="13C71D48" w14:textId="77777777" w:rsidTr="00850829">
              <w:trPr>
                <w:trHeight w:val="1215"/>
              </w:trPr>
              <w:tc>
                <w:tcPr>
                  <w:tcW w:w="1395" w:type="dxa"/>
                  <w:gridSpan w:val="2"/>
                  <w:shd w:val="clear" w:color="auto" w:fill="auto"/>
                  <w:vAlign w:val="center"/>
                  <w:hideMark/>
                </w:tcPr>
                <w:p w14:paraId="36B1D3C7"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 xml:space="preserve">Assessment of status </w:t>
                  </w:r>
                </w:p>
              </w:tc>
              <w:tc>
                <w:tcPr>
                  <w:tcW w:w="1276" w:type="dxa"/>
                  <w:shd w:val="clear" w:color="auto" w:fill="auto"/>
                  <w:vAlign w:val="center"/>
                  <w:hideMark/>
                </w:tcPr>
                <w:p w14:paraId="5F164D83"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Distribution</w:t>
                  </w:r>
                </w:p>
              </w:tc>
              <w:tc>
                <w:tcPr>
                  <w:tcW w:w="1276" w:type="dxa"/>
                  <w:shd w:val="clear" w:color="auto" w:fill="auto"/>
                  <w:vAlign w:val="center"/>
                  <w:hideMark/>
                </w:tcPr>
                <w:p w14:paraId="75A87AB8"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Abundance</w:t>
                  </w:r>
                </w:p>
              </w:tc>
              <w:tc>
                <w:tcPr>
                  <w:tcW w:w="1134" w:type="dxa"/>
                  <w:shd w:val="clear" w:color="auto" w:fill="auto"/>
                  <w:vAlign w:val="center"/>
                  <w:hideMark/>
                </w:tcPr>
                <w:p w14:paraId="5B78E6C5"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Condition</w:t>
                  </w:r>
                </w:p>
              </w:tc>
              <w:tc>
                <w:tcPr>
                  <w:tcW w:w="1300" w:type="dxa"/>
                  <w:shd w:val="clear" w:color="auto" w:fill="auto"/>
                  <w:vAlign w:val="center"/>
                  <w:hideMark/>
                </w:tcPr>
                <w:p w14:paraId="4839EC35"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Previous OSPAR status assessment</w:t>
                  </w:r>
                </w:p>
              </w:tc>
              <w:tc>
                <w:tcPr>
                  <w:tcW w:w="826" w:type="dxa"/>
                  <w:shd w:val="clear" w:color="auto" w:fill="auto"/>
                  <w:vAlign w:val="center"/>
                  <w:hideMark/>
                </w:tcPr>
                <w:p w14:paraId="71278285"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Status</w:t>
                  </w:r>
                </w:p>
              </w:tc>
            </w:tr>
            <w:tr w:rsidR="00850829" w:rsidRPr="00850829" w14:paraId="24F21FBA" w14:textId="77777777" w:rsidTr="00850829">
              <w:trPr>
                <w:trHeight w:val="360"/>
              </w:trPr>
              <w:tc>
                <w:tcPr>
                  <w:tcW w:w="970" w:type="dxa"/>
                  <w:vMerge w:val="restart"/>
                  <w:shd w:val="clear" w:color="auto" w:fill="auto"/>
                  <w:vAlign w:val="center"/>
                  <w:hideMark/>
                </w:tcPr>
                <w:p w14:paraId="58BB1B76"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Regions</w:t>
                  </w:r>
                </w:p>
              </w:tc>
              <w:tc>
                <w:tcPr>
                  <w:tcW w:w="425" w:type="dxa"/>
                  <w:shd w:val="clear" w:color="auto" w:fill="auto"/>
                  <w:vAlign w:val="center"/>
                  <w:hideMark/>
                </w:tcPr>
                <w:p w14:paraId="1D196293"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I</w:t>
                  </w:r>
                </w:p>
              </w:tc>
              <w:tc>
                <w:tcPr>
                  <w:tcW w:w="1276" w:type="dxa"/>
                  <w:shd w:val="clear" w:color="auto" w:fill="auto"/>
                  <w:vAlign w:val="center"/>
                  <w:hideMark/>
                </w:tcPr>
                <w:p w14:paraId="71E759AC"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276" w:type="dxa"/>
                  <w:shd w:val="clear" w:color="auto" w:fill="auto"/>
                  <w:vAlign w:val="center"/>
                  <w:hideMark/>
                </w:tcPr>
                <w:p w14:paraId="53680522"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2,3,5</w:t>
                  </w:r>
                </w:p>
              </w:tc>
              <w:tc>
                <w:tcPr>
                  <w:tcW w:w="1134" w:type="dxa"/>
                  <w:shd w:val="clear" w:color="auto" w:fill="auto"/>
                  <w:vAlign w:val="center"/>
                  <w:hideMark/>
                </w:tcPr>
                <w:p w14:paraId="5899C7AF"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 xml:space="preserve">↔ </w:t>
                  </w:r>
                  <w:r w:rsidRPr="00850829">
                    <w:rPr>
                      <w:rFonts w:ascii="Calibri" w:hAnsi="Calibri" w:cs="Calibri"/>
                      <w:color w:val="000000"/>
                      <w:sz w:val="22"/>
                      <w:szCs w:val="22"/>
                      <w:vertAlign w:val="superscript"/>
                      <w:lang w:val="en-GB" w:eastAsia="en-GB"/>
                    </w:rPr>
                    <w:t>3,5</w:t>
                  </w:r>
                </w:p>
              </w:tc>
              <w:tc>
                <w:tcPr>
                  <w:tcW w:w="1300" w:type="dxa"/>
                  <w:shd w:val="clear" w:color="auto" w:fill="auto"/>
                  <w:vAlign w:val="center"/>
                  <w:hideMark/>
                </w:tcPr>
                <w:p w14:paraId="1E8E78B7"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p>
              </w:tc>
              <w:tc>
                <w:tcPr>
                  <w:tcW w:w="826" w:type="dxa"/>
                  <w:shd w:val="clear" w:color="000000" w:fill="FF0000"/>
                  <w:vAlign w:val="center"/>
                  <w:hideMark/>
                </w:tcPr>
                <w:p w14:paraId="5AB9CCC9"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Poor</w:t>
                  </w:r>
                </w:p>
              </w:tc>
            </w:tr>
            <w:tr w:rsidR="00850829" w:rsidRPr="00850829" w14:paraId="2DCA3148" w14:textId="77777777" w:rsidTr="00850829">
              <w:trPr>
                <w:trHeight w:val="360"/>
              </w:trPr>
              <w:tc>
                <w:tcPr>
                  <w:tcW w:w="970" w:type="dxa"/>
                  <w:vMerge/>
                  <w:vAlign w:val="center"/>
                  <w:hideMark/>
                </w:tcPr>
                <w:p w14:paraId="77B7DAD7" w14:textId="77777777" w:rsidR="00850829" w:rsidRPr="00850829" w:rsidRDefault="00850829" w:rsidP="00850829">
                  <w:pPr>
                    <w:rPr>
                      <w:rFonts w:ascii="Calibri" w:hAnsi="Calibri" w:cs="Calibri"/>
                      <w:color w:val="000000"/>
                      <w:sz w:val="22"/>
                      <w:szCs w:val="22"/>
                      <w:lang w:val="en-GB" w:eastAsia="en-GB"/>
                    </w:rPr>
                  </w:pPr>
                </w:p>
              </w:tc>
              <w:tc>
                <w:tcPr>
                  <w:tcW w:w="425" w:type="dxa"/>
                  <w:shd w:val="clear" w:color="auto" w:fill="auto"/>
                  <w:vAlign w:val="center"/>
                  <w:hideMark/>
                </w:tcPr>
                <w:p w14:paraId="635353C1"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II</w:t>
                  </w:r>
                </w:p>
              </w:tc>
              <w:tc>
                <w:tcPr>
                  <w:tcW w:w="1276" w:type="dxa"/>
                  <w:shd w:val="clear" w:color="auto" w:fill="auto"/>
                  <w:vAlign w:val="center"/>
                  <w:hideMark/>
                </w:tcPr>
                <w:p w14:paraId="0EC0F174"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276" w:type="dxa"/>
                  <w:shd w:val="clear" w:color="auto" w:fill="auto"/>
                  <w:vAlign w:val="center"/>
                  <w:hideMark/>
                </w:tcPr>
                <w:p w14:paraId="1AFB968E"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2,3,5</w:t>
                  </w:r>
                </w:p>
              </w:tc>
              <w:tc>
                <w:tcPr>
                  <w:tcW w:w="1134" w:type="dxa"/>
                  <w:shd w:val="clear" w:color="auto" w:fill="auto"/>
                  <w:vAlign w:val="center"/>
                  <w:hideMark/>
                </w:tcPr>
                <w:p w14:paraId="40CB8DE4"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300" w:type="dxa"/>
                  <w:shd w:val="clear" w:color="auto" w:fill="auto"/>
                  <w:vAlign w:val="center"/>
                  <w:hideMark/>
                </w:tcPr>
                <w:p w14:paraId="5C0F4888"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p>
              </w:tc>
              <w:tc>
                <w:tcPr>
                  <w:tcW w:w="826" w:type="dxa"/>
                  <w:shd w:val="clear" w:color="000000" w:fill="FF0000"/>
                  <w:vAlign w:val="center"/>
                  <w:hideMark/>
                </w:tcPr>
                <w:p w14:paraId="515E680A"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Poor</w:t>
                  </w:r>
                </w:p>
              </w:tc>
            </w:tr>
            <w:tr w:rsidR="00850829" w:rsidRPr="00850829" w14:paraId="250A50DE" w14:textId="77777777" w:rsidTr="00850829">
              <w:trPr>
                <w:trHeight w:val="360"/>
              </w:trPr>
              <w:tc>
                <w:tcPr>
                  <w:tcW w:w="970" w:type="dxa"/>
                  <w:vMerge/>
                  <w:vAlign w:val="center"/>
                  <w:hideMark/>
                </w:tcPr>
                <w:p w14:paraId="40D17557" w14:textId="77777777" w:rsidR="00850829" w:rsidRPr="00850829" w:rsidRDefault="00850829" w:rsidP="00850829">
                  <w:pPr>
                    <w:rPr>
                      <w:rFonts w:ascii="Calibri" w:hAnsi="Calibri" w:cs="Calibri"/>
                      <w:color w:val="000000"/>
                      <w:sz w:val="22"/>
                      <w:szCs w:val="22"/>
                      <w:lang w:val="en-GB" w:eastAsia="en-GB"/>
                    </w:rPr>
                  </w:pPr>
                </w:p>
              </w:tc>
              <w:tc>
                <w:tcPr>
                  <w:tcW w:w="425" w:type="dxa"/>
                  <w:shd w:val="clear" w:color="auto" w:fill="auto"/>
                  <w:vAlign w:val="center"/>
                  <w:hideMark/>
                </w:tcPr>
                <w:p w14:paraId="3E8F70CF"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III</w:t>
                  </w:r>
                </w:p>
              </w:tc>
              <w:tc>
                <w:tcPr>
                  <w:tcW w:w="1276" w:type="dxa"/>
                  <w:shd w:val="clear" w:color="auto" w:fill="auto"/>
                  <w:vAlign w:val="center"/>
                  <w:hideMark/>
                </w:tcPr>
                <w:p w14:paraId="1FE785C0"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276" w:type="dxa"/>
                  <w:shd w:val="clear" w:color="auto" w:fill="auto"/>
                  <w:vAlign w:val="center"/>
                  <w:hideMark/>
                </w:tcPr>
                <w:p w14:paraId="1002D458"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2,3,5</w:t>
                  </w:r>
                </w:p>
              </w:tc>
              <w:tc>
                <w:tcPr>
                  <w:tcW w:w="1134" w:type="dxa"/>
                  <w:shd w:val="clear" w:color="auto" w:fill="auto"/>
                  <w:vAlign w:val="center"/>
                  <w:hideMark/>
                </w:tcPr>
                <w:p w14:paraId="5798F348"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300" w:type="dxa"/>
                  <w:shd w:val="clear" w:color="auto" w:fill="auto"/>
                  <w:vAlign w:val="center"/>
                  <w:hideMark/>
                </w:tcPr>
                <w:p w14:paraId="21B9FDA8"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p>
              </w:tc>
              <w:tc>
                <w:tcPr>
                  <w:tcW w:w="826" w:type="dxa"/>
                  <w:shd w:val="clear" w:color="000000" w:fill="FF0000"/>
                  <w:vAlign w:val="center"/>
                  <w:hideMark/>
                </w:tcPr>
                <w:p w14:paraId="7744CA1A"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Poor</w:t>
                  </w:r>
                </w:p>
              </w:tc>
            </w:tr>
            <w:tr w:rsidR="00850829" w:rsidRPr="00850829" w14:paraId="336DA6CE" w14:textId="77777777" w:rsidTr="00850829">
              <w:trPr>
                <w:trHeight w:val="360"/>
              </w:trPr>
              <w:tc>
                <w:tcPr>
                  <w:tcW w:w="970" w:type="dxa"/>
                  <w:vMerge/>
                  <w:vAlign w:val="center"/>
                  <w:hideMark/>
                </w:tcPr>
                <w:p w14:paraId="17CD0D39" w14:textId="77777777" w:rsidR="00850829" w:rsidRPr="00850829" w:rsidRDefault="00850829" w:rsidP="00850829">
                  <w:pPr>
                    <w:rPr>
                      <w:rFonts w:ascii="Calibri" w:hAnsi="Calibri" w:cs="Calibri"/>
                      <w:color w:val="000000"/>
                      <w:sz w:val="22"/>
                      <w:szCs w:val="22"/>
                      <w:lang w:val="en-GB" w:eastAsia="en-GB"/>
                    </w:rPr>
                  </w:pPr>
                </w:p>
              </w:tc>
              <w:tc>
                <w:tcPr>
                  <w:tcW w:w="425" w:type="dxa"/>
                  <w:shd w:val="clear" w:color="auto" w:fill="auto"/>
                  <w:vAlign w:val="center"/>
                  <w:hideMark/>
                </w:tcPr>
                <w:p w14:paraId="3080FC81"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IV</w:t>
                  </w:r>
                </w:p>
              </w:tc>
              <w:tc>
                <w:tcPr>
                  <w:tcW w:w="1276" w:type="dxa"/>
                  <w:shd w:val="clear" w:color="auto" w:fill="auto"/>
                  <w:vAlign w:val="center"/>
                  <w:hideMark/>
                </w:tcPr>
                <w:p w14:paraId="5F63AE90"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276" w:type="dxa"/>
                  <w:shd w:val="clear" w:color="auto" w:fill="auto"/>
                  <w:vAlign w:val="center"/>
                  <w:hideMark/>
                </w:tcPr>
                <w:p w14:paraId="0E2CB204"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2,3,5</w:t>
                  </w:r>
                </w:p>
              </w:tc>
              <w:tc>
                <w:tcPr>
                  <w:tcW w:w="1134" w:type="dxa"/>
                  <w:shd w:val="clear" w:color="auto" w:fill="auto"/>
                  <w:vAlign w:val="center"/>
                  <w:hideMark/>
                </w:tcPr>
                <w:p w14:paraId="63B605EA"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r w:rsidRPr="00850829">
                    <w:rPr>
                      <w:rFonts w:ascii="Calibri" w:hAnsi="Calibri" w:cs="Calibri"/>
                      <w:color w:val="000000"/>
                      <w:sz w:val="22"/>
                      <w:szCs w:val="22"/>
                      <w:vertAlign w:val="superscript"/>
                      <w:lang w:val="en-GB" w:eastAsia="en-GB"/>
                    </w:rPr>
                    <w:t>3,5</w:t>
                  </w:r>
                </w:p>
              </w:tc>
              <w:tc>
                <w:tcPr>
                  <w:tcW w:w="1300" w:type="dxa"/>
                  <w:shd w:val="clear" w:color="auto" w:fill="auto"/>
                  <w:vAlign w:val="center"/>
                  <w:hideMark/>
                </w:tcPr>
                <w:p w14:paraId="590DC044"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w:t>
                  </w:r>
                </w:p>
              </w:tc>
              <w:tc>
                <w:tcPr>
                  <w:tcW w:w="826" w:type="dxa"/>
                  <w:shd w:val="clear" w:color="000000" w:fill="FF0000"/>
                  <w:vAlign w:val="center"/>
                  <w:hideMark/>
                </w:tcPr>
                <w:p w14:paraId="7F95DDDF"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Poor</w:t>
                  </w:r>
                </w:p>
              </w:tc>
            </w:tr>
            <w:tr w:rsidR="00850829" w:rsidRPr="00850829" w14:paraId="1D41D535" w14:textId="77777777" w:rsidTr="00850829">
              <w:trPr>
                <w:trHeight w:val="315"/>
              </w:trPr>
              <w:tc>
                <w:tcPr>
                  <w:tcW w:w="970" w:type="dxa"/>
                  <w:vMerge/>
                  <w:vAlign w:val="center"/>
                  <w:hideMark/>
                </w:tcPr>
                <w:p w14:paraId="10A4EACE" w14:textId="77777777" w:rsidR="00850829" w:rsidRPr="00850829" w:rsidRDefault="00850829" w:rsidP="00850829">
                  <w:pPr>
                    <w:rPr>
                      <w:rFonts w:ascii="Calibri" w:hAnsi="Calibri" w:cs="Calibri"/>
                      <w:color w:val="000000"/>
                      <w:sz w:val="22"/>
                      <w:szCs w:val="22"/>
                      <w:lang w:val="en-GB" w:eastAsia="en-GB"/>
                    </w:rPr>
                  </w:pPr>
                </w:p>
              </w:tc>
              <w:tc>
                <w:tcPr>
                  <w:tcW w:w="425" w:type="dxa"/>
                  <w:shd w:val="clear" w:color="auto" w:fill="auto"/>
                  <w:vAlign w:val="center"/>
                  <w:hideMark/>
                </w:tcPr>
                <w:p w14:paraId="21D09CA2"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V</w:t>
                  </w:r>
                </w:p>
              </w:tc>
              <w:tc>
                <w:tcPr>
                  <w:tcW w:w="1276" w:type="dxa"/>
                  <w:shd w:val="clear" w:color="auto" w:fill="auto"/>
                  <w:vAlign w:val="center"/>
                  <w:hideMark/>
                </w:tcPr>
                <w:p w14:paraId="5B15A461"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 </w:t>
                  </w:r>
                </w:p>
              </w:tc>
              <w:tc>
                <w:tcPr>
                  <w:tcW w:w="1276" w:type="dxa"/>
                  <w:shd w:val="clear" w:color="auto" w:fill="auto"/>
                  <w:vAlign w:val="center"/>
                  <w:hideMark/>
                </w:tcPr>
                <w:p w14:paraId="684FF98C"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 </w:t>
                  </w:r>
                </w:p>
              </w:tc>
              <w:tc>
                <w:tcPr>
                  <w:tcW w:w="1134" w:type="dxa"/>
                  <w:shd w:val="clear" w:color="auto" w:fill="auto"/>
                  <w:vAlign w:val="center"/>
                  <w:hideMark/>
                </w:tcPr>
                <w:p w14:paraId="5F2567AB"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 </w:t>
                  </w:r>
                </w:p>
              </w:tc>
              <w:tc>
                <w:tcPr>
                  <w:tcW w:w="1300" w:type="dxa"/>
                  <w:shd w:val="clear" w:color="auto" w:fill="auto"/>
                  <w:vAlign w:val="center"/>
                  <w:hideMark/>
                </w:tcPr>
                <w:p w14:paraId="3906F5F8" w14:textId="77777777" w:rsidR="00850829" w:rsidRPr="00850829" w:rsidRDefault="00850829" w:rsidP="00850829">
                  <w:pPr>
                    <w:jc w:val="cente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 </w:t>
                  </w:r>
                </w:p>
              </w:tc>
              <w:tc>
                <w:tcPr>
                  <w:tcW w:w="826" w:type="dxa"/>
                  <w:shd w:val="clear" w:color="000000" w:fill="D9D9D9"/>
                  <w:vAlign w:val="center"/>
                  <w:hideMark/>
                </w:tcPr>
                <w:p w14:paraId="5B1705AE" w14:textId="77777777" w:rsidR="00850829" w:rsidRPr="00850829" w:rsidRDefault="00850829" w:rsidP="00850829">
                  <w:pPr>
                    <w:rPr>
                      <w:rFonts w:ascii="Calibri" w:hAnsi="Calibri" w:cs="Calibri"/>
                      <w:color w:val="000000"/>
                      <w:sz w:val="22"/>
                      <w:szCs w:val="22"/>
                      <w:lang w:val="en-GB" w:eastAsia="en-GB"/>
                    </w:rPr>
                  </w:pPr>
                  <w:r w:rsidRPr="00850829">
                    <w:rPr>
                      <w:rFonts w:ascii="Calibri" w:hAnsi="Calibri" w:cs="Calibri"/>
                      <w:color w:val="000000"/>
                      <w:sz w:val="22"/>
                      <w:szCs w:val="22"/>
                      <w:lang w:val="en-GB" w:eastAsia="en-GB"/>
                    </w:rPr>
                    <w:t>N/A</w:t>
                  </w:r>
                </w:p>
              </w:tc>
            </w:tr>
          </w:tbl>
          <w:p w14:paraId="076B6932" w14:textId="77777777" w:rsidR="00BF7B5C" w:rsidRDefault="00BF7B5C" w:rsidP="00BF7B5C">
            <w:pPr>
              <w:spacing w:after="120"/>
              <w:jc w:val="both"/>
              <w:rPr>
                <w:rFonts w:asciiTheme="minorHAnsi" w:hAnsiTheme="minorHAnsi" w:cstheme="minorHAnsi"/>
                <w:sz w:val="22"/>
                <w:szCs w:val="22"/>
                <w:lang w:val="en-GB"/>
              </w:rPr>
            </w:pPr>
          </w:p>
          <w:p w14:paraId="0F3BFA84" w14:textId="20480EC5" w:rsidR="00BF7B5C" w:rsidRPr="00BF7B5C" w:rsidRDefault="00BF7B5C" w:rsidP="00BF7B5C">
            <w:pPr>
              <w:spacing w:after="120"/>
              <w:jc w:val="both"/>
              <w:rPr>
                <w:rFonts w:asciiTheme="minorHAnsi" w:hAnsiTheme="minorHAnsi" w:cstheme="minorHAnsi"/>
                <w:sz w:val="22"/>
                <w:szCs w:val="22"/>
                <w:lang w:val="en-GB"/>
              </w:rPr>
            </w:pPr>
            <w:r w:rsidRPr="00BF7B5C">
              <w:rPr>
                <w:rFonts w:asciiTheme="minorHAnsi" w:hAnsiTheme="minorHAnsi" w:cstheme="minorHAnsi"/>
                <w:sz w:val="22"/>
                <w:szCs w:val="22"/>
                <w:lang w:val="en-GB"/>
              </w:rPr>
              <w:t>Explanation to table:</w:t>
            </w:r>
          </w:p>
          <w:p w14:paraId="0B065C58" w14:textId="77777777" w:rsidR="00BF7B5C" w:rsidRPr="00BF7B5C" w:rsidRDefault="00BF7B5C" w:rsidP="00BF7B5C">
            <w:pPr>
              <w:spacing w:after="120"/>
              <w:jc w:val="both"/>
              <w:rPr>
                <w:rFonts w:asciiTheme="minorHAnsi" w:hAnsiTheme="minorHAnsi" w:cstheme="minorHAnsi"/>
                <w:b/>
                <w:bCs/>
                <w:sz w:val="22"/>
                <w:szCs w:val="22"/>
                <w:lang w:val="en-GB"/>
              </w:rPr>
            </w:pPr>
            <w:r w:rsidRPr="00BF7B5C">
              <w:rPr>
                <w:rFonts w:asciiTheme="minorHAnsi" w:hAnsiTheme="minorHAnsi" w:cstheme="minorHAnsi"/>
                <w:b/>
                <w:bCs/>
                <w:sz w:val="22"/>
                <w:szCs w:val="22"/>
                <w:lang w:val="en-GB"/>
              </w:rPr>
              <w:t>Distribution, Population size, Condition</w:t>
            </w:r>
          </w:p>
          <w:p w14:paraId="0E114CE6" w14:textId="77777777" w:rsidR="00BF7B5C" w:rsidRPr="00BF7B5C" w:rsidRDefault="00BF7B5C" w:rsidP="00BF7B5C">
            <w:pPr>
              <w:spacing w:after="120"/>
              <w:jc w:val="both"/>
              <w:rPr>
                <w:rFonts w:asciiTheme="minorHAnsi" w:hAnsiTheme="minorHAnsi" w:cstheme="minorHAnsi"/>
                <w:sz w:val="22"/>
                <w:szCs w:val="22"/>
                <w:lang w:val="en-GB"/>
              </w:rPr>
            </w:pPr>
            <w:r w:rsidRPr="00BF7B5C">
              <w:rPr>
                <w:rFonts w:asciiTheme="minorHAnsi" w:hAnsiTheme="minorHAnsi" w:cstheme="minorHAnsi"/>
                <w:b/>
                <w:bCs/>
                <w:sz w:val="22"/>
                <w:szCs w:val="22"/>
                <w:lang w:val="en-GB"/>
              </w:rPr>
              <w:t>Trends</w:t>
            </w:r>
            <w:r w:rsidRPr="00BF7B5C">
              <w:rPr>
                <w:rFonts w:asciiTheme="minorHAnsi" w:hAnsiTheme="minorHAnsi" w:cstheme="minorHAnsi"/>
                <w:sz w:val="22"/>
                <w:szCs w:val="22"/>
                <w:lang w:val="en-GB"/>
              </w:rPr>
              <w:t xml:space="preserve"> in status (since the assessment in the background document)</w:t>
            </w:r>
          </w:p>
          <w:p w14:paraId="18FEF65A" w14:textId="77777777" w:rsidR="0031651C" w:rsidRPr="00143CB6" w:rsidRDefault="0031651C" w:rsidP="00437F65">
            <w:pPr>
              <w:spacing w:after="120"/>
              <w:jc w:val="both"/>
              <w:rPr>
                <w:rFonts w:asciiTheme="minorHAnsi" w:hAnsiTheme="minorHAnsi" w:cstheme="minorHAnsi"/>
                <w:sz w:val="22"/>
                <w:szCs w:val="22"/>
                <w:lang w:val="en-GB"/>
              </w:rPr>
            </w:pPr>
          </w:p>
          <w:p w14:paraId="083D8914"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b/>
                <w:bCs/>
                <w:sz w:val="22"/>
                <w:szCs w:val="22"/>
                <w:lang w:val="en-GB"/>
              </w:rPr>
              <w:t xml:space="preserve">↓ </w:t>
            </w:r>
            <w:r w:rsidRPr="00143CB6">
              <w:rPr>
                <w:rFonts w:asciiTheme="minorHAnsi" w:hAnsiTheme="minorHAnsi" w:cstheme="minorHAnsi"/>
                <w:b/>
                <w:bCs/>
                <w:sz w:val="22"/>
                <w:szCs w:val="22"/>
                <w:lang w:val="en-GB"/>
              </w:rPr>
              <w:tab/>
            </w:r>
            <w:r w:rsidRPr="00143CB6">
              <w:rPr>
                <w:rFonts w:asciiTheme="minorHAnsi" w:hAnsiTheme="minorHAnsi" w:cstheme="minorHAnsi"/>
                <w:sz w:val="22"/>
                <w:szCs w:val="22"/>
                <w:lang w:val="en-GB"/>
              </w:rPr>
              <w:t xml:space="preserve">decreasing trend or deterioration of the criterion assessed </w:t>
            </w:r>
          </w:p>
          <w:p w14:paraId="3BC08873" w14:textId="77777777" w:rsidR="0031651C" w:rsidRPr="00143CB6" w:rsidRDefault="0031651C" w:rsidP="00437F65">
            <w:pPr>
              <w:spacing w:after="120"/>
              <w:jc w:val="both"/>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w:t>
            </w:r>
            <w:r w:rsidRPr="00143CB6">
              <w:rPr>
                <w:rFonts w:asciiTheme="minorHAnsi" w:hAnsiTheme="minorHAnsi" w:cstheme="minorHAnsi"/>
                <w:sz w:val="22"/>
                <w:szCs w:val="22"/>
                <w:lang w:val="en-GB"/>
              </w:rPr>
              <w:t xml:space="preserve"> </w:t>
            </w:r>
            <w:r w:rsidRPr="00143CB6">
              <w:rPr>
                <w:rFonts w:asciiTheme="minorHAnsi" w:hAnsiTheme="minorHAnsi" w:cstheme="minorHAnsi"/>
                <w:b/>
                <w:bCs/>
                <w:sz w:val="22"/>
                <w:szCs w:val="22"/>
                <w:lang w:val="en-GB"/>
              </w:rPr>
              <w:tab/>
            </w:r>
            <w:r w:rsidRPr="00143CB6">
              <w:rPr>
                <w:rFonts w:asciiTheme="minorHAnsi" w:hAnsiTheme="minorHAnsi" w:cstheme="minorHAnsi"/>
                <w:sz w:val="22"/>
                <w:szCs w:val="22"/>
                <w:lang w:val="en-GB"/>
              </w:rPr>
              <w:t>increasing trend or improvement in the criterion assessed</w:t>
            </w:r>
          </w:p>
          <w:p w14:paraId="643F88DB"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b/>
                <w:bCs/>
                <w:sz w:val="22"/>
                <w:szCs w:val="22"/>
                <w:lang w:val="en-GB"/>
              </w:rPr>
              <w:t xml:space="preserve">←→ </w:t>
            </w:r>
            <w:r w:rsidRPr="00143CB6">
              <w:rPr>
                <w:rFonts w:asciiTheme="minorHAnsi" w:hAnsiTheme="minorHAnsi" w:cstheme="minorHAnsi"/>
                <w:b/>
                <w:bCs/>
                <w:sz w:val="22"/>
                <w:szCs w:val="22"/>
                <w:lang w:val="en-GB"/>
              </w:rPr>
              <w:tab/>
            </w:r>
            <w:r w:rsidRPr="00143CB6">
              <w:rPr>
                <w:rFonts w:asciiTheme="minorHAnsi" w:hAnsiTheme="minorHAnsi" w:cstheme="minorHAnsi"/>
                <w:sz w:val="22"/>
                <w:szCs w:val="22"/>
                <w:lang w:val="en-GB"/>
              </w:rPr>
              <w:t xml:space="preserve">no change observed in the criterion assessed </w:t>
            </w:r>
          </w:p>
          <w:p w14:paraId="747214AB" w14:textId="77777777" w:rsidR="0031651C" w:rsidRDefault="0031651C" w:rsidP="00437F65">
            <w:pPr>
              <w:spacing w:after="120"/>
              <w:jc w:val="both"/>
              <w:rPr>
                <w:rFonts w:asciiTheme="minorHAnsi" w:hAnsiTheme="minorHAnsi" w:cstheme="minorHAnsi"/>
                <w:i/>
                <w:sz w:val="22"/>
                <w:szCs w:val="22"/>
                <w:lang w:val="en-GB"/>
              </w:rPr>
            </w:pPr>
            <w:r w:rsidRPr="00143CB6">
              <w:rPr>
                <w:rFonts w:asciiTheme="minorHAnsi" w:hAnsiTheme="minorHAnsi" w:cstheme="minorHAnsi"/>
                <w:b/>
                <w:sz w:val="22"/>
                <w:szCs w:val="22"/>
                <w:lang w:val="en-GB"/>
              </w:rPr>
              <w:t>?</w:t>
            </w:r>
            <w:r w:rsidRPr="00143CB6">
              <w:rPr>
                <w:rFonts w:asciiTheme="minorHAnsi" w:hAnsiTheme="minorHAnsi" w:cstheme="minorHAnsi"/>
                <w:i/>
                <w:sz w:val="22"/>
                <w:szCs w:val="22"/>
                <w:lang w:val="en-GB"/>
              </w:rPr>
              <w:t xml:space="preserve">  trend unknown in the criterion assessed</w:t>
            </w:r>
          </w:p>
          <w:p w14:paraId="5022723E" w14:textId="2A3317D8" w:rsidR="00CA2A31" w:rsidRPr="00CA2A31" w:rsidRDefault="00CA2A31" w:rsidP="00437F65">
            <w:pPr>
              <w:spacing w:after="120"/>
              <w:jc w:val="both"/>
              <w:rPr>
                <w:rFonts w:asciiTheme="minorHAnsi" w:hAnsiTheme="minorHAnsi" w:cstheme="minorHAnsi"/>
                <w:iCs/>
                <w:sz w:val="22"/>
                <w:szCs w:val="22"/>
                <w:lang w:val="en-GB"/>
              </w:rPr>
            </w:pPr>
            <w:r w:rsidRPr="00CA2A31">
              <w:rPr>
                <w:rFonts w:asciiTheme="minorHAnsi" w:hAnsiTheme="minorHAnsi" w:cstheme="minorHAnsi"/>
                <w:b/>
                <w:bCs/>
                <w:iCs/>
                <w:sz w:val="22"/>
                <w:szCs w:val="22"/>
              </w:rPr>
              <w:t>Previous status assessment</w:t>
            </w:r>
            <w:r w:rsidRPr="00CA2A31">
              <w:rPr>
                <w:rFonts w:asciiTheme="minorHAnsi" w:hAnsiTheme="minorHAnsi" w:cstheme="minorHAnsi"/>
                <w:iCs/>
                <w:sz w:val="22"/>
                <w:szCs w:val="22"/>
              </w:rPr>
              <w:t xml:space="preserve">: If in QSR 2010 then enter Regions where species occurs ( ○) and has been recognised by OSPAR to be threatened and/or declining (● ) based on Chapter 10 </w:t>
            </w:r>
            <w:hyperlink r:id="rId17" w:history="1">
              <w:r w:rsidRPr="00CA2A31">
                <w:rPr>
                  <w:rStyle w:val="Hyperlink"/>
                  <w:rFonts w:asciiTheme="minorHAnsi" w:hAnsiTheme="minorHAnsi" w:cstheme="minorHAnsi"/>
                  <w:iCs/>
                  <w:sz w:val="22"/>
                  <w:szCs w:val="22"/>
                </w:rPr>
                <w:t>Table 10.1</w:t>
              </w:r>
            </w:hyperlink>
            <w:r w:rsidRPr="00CA2A31">
              <w:rPr>
                <w:rFonts w:asciiTheme="minorHAnsi" w:hAnsiTheme="minorHAnsi" w:cstheme="minorHAnsi"/>
                <w:iCs/>
                <w:sz w:val="22"/>
                <w:szCs w:val="22"/>
              </w:rPr>
              <w:t xml:space="preserve"> and </w:t>
            </w:r>
            <w:hyperlink r:id="rId18" w:history="1">
              <w:r w:rsidRPr="00CA2A31">
                <w:rPr>
                  <w:rStyle w:val="Hyperlink"/>
                  <w:rFonts w:asciiTheme="minorHAnsi" w:hAnsiTheme="minorHAnsi" w:cstheme="minorHAnsi"/>
                  <w:iCs/>
                  <w:sz w:val="22"/>
                  <w:szCs w:val="22"/>
                </w:rPr>
                <w:t>Table 10.2</w:t>
              </w:r>
            </w:hyperlink>
            <w:r w:rsidRPr="00CA2A31">
              <w:rPr>
                <w:rFonts w:asciiTheme="minorHAnsi" w:hAnsiTheme="minorHAnsi" w:cstheme="minorHAnsi"/>
                <w:iCs/>
                <w:sz w:val="22"/>
                <w:szCs w:val="22"/>
              </w:rPr>
              <w:t xml:space="preserve"> . If a more recent status assessment is available, then enter ‘poor’/’good’</w:t>
            </w:r>
          </w:p>
          <w:p w14:paraId="578FDF87" w14:textId="77777777" w:rsidR="0031651C" w:rsidRPr="00143CB6" w:rsidRDefault="0031651C" w:rsidP="00437F65">
            <w:pPr>
              <w:spacing w:after="120"/>
              <w:jc w:val="both"/>
              <w:rPr>
                <w:rFonts w:asciiTheme="minorHAnsi" w:hAnsiTheme="minorHAnsi" w:cstheme="minorHAnsi"/>
                <w:b/>
                <w:sz w:val="22"/>
                <w:szCs w:val="22"/>
                <w:u w:val="single"/>
                <w:lang w:val="en-GB"/>
              </w:rPr>
            </w:pPr>
            <w:r w:rsidRPr="00143CB6">
              <w:rPr>
                <w:rFonts w:asciiTheme="minorHAnsi" w:hAnsiTheme="minorHAnsi" w:cstheme="minorHAnsi"/>
                <w:b/>
                <w:sz w:val="22"/>
                <w:szCs w:val="22"/>
                <w:u w:val="single"/>
                <w:lang w:val="en-GB"/>
              </w:rPr>
              <w:t>Status*</w:t>
            </w:r>
            <w:r w:rsidRPr="00143CB6">
              <w:rPr>
                <w:rFonts w:asciiTheme="minorHAnsi" w:hAnsiTheme="minorHAnsi" w:cstheme="minorHAnsi"/>
                <w:sz w:val="22"/>
                <w:szCs w:val="22"/>
                <w:lang w:val="en-GB"/>
              </w:rPr>
              <w:t>(overall assessment)</w:t>
            </w:r>
          </w:p>
          <w:p w14:paraId="457F1E2D"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highlight w:val="red"/>
                <w:lang w:val="en-GB"/>
              </w:rPr>
              <w:t>red</w:t>
            </w:r>
            <w:r w:rsidRPr="00143CB6">
              <w:rPr>
                <w:rFonts w:asciiTheme="minorHAnsi" w:hAnsiTheme="minorHAnsi" w:cstheme="minorHAnsi"/>
                <w:sz w:val="22"/>
                <w:szCs w:val="22"/>
                <w:lang w:val="en-GB"/>
              </w:rPr>
              <w:t xml:space="preserve"> – poor </w:t>
            </w:r>
          </w:p>
          <w:p w14:paraId="38B57FE9"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highlight w:val="green"/>
                <w:lang w:val="en-GB"/>
              </w:rPr>
              <w:t>green</w:t>
            </w:r>
            <w:r w:rsidRPr="00143CB6">
              <w:rPr>
                <w:rFonts w:asciiTheme="minorHAnsi" w:hAnsiTheme="minorHAnsi" w:cstheme="minorHAnsi"/>
                <w:sz w:val="22"/>
                <w:szCs w:val="22"/>
                <w:lang w:val="en-GB"/>
              </w:rPr>
              <w:t xml:space="preserve"> – good</w:t>
            </w:r>
          </w:p>
          <w:p w14:paraId="25F8E623" w14:textId="77777777" w:rsidR="0031651C" w:rsidRPr="00143CB6" w:rsidRDefault="0031651C" w:rsidP="00437F65">
            <w:pPr>
              <w:spacing w:after="160" w:line="259" w:lineRule="auto"/>
              <w:jc w:val="both"/>
              <w:rPr>
                <w:rFonts w:asciiTheme="minorHAnsi" w:hAnsiTheme="minorHAnsi" w:cstheme="minorHAnsi"/>
                <w:i/>
                <w:sz w:val="22"/>
                <w:szCs w:val="22"/>
                <w:lang w:val="en-GB"/>
              </w:rPr>
            </w:pPr>
            <w:r w:rsidRPr="00143CB6">
              <w:rPr>
                <w:rFonts w:asciiTheme="minorHAnsi" w:hAnsiTheme="minorHAnsi" w:cstheme="minorHAnsi"/>
                <w:b/>
                <w:sz w:val="22"/>
                <w:szCs w:val="22"/>
                <w:lang w:val="en-GB"/>
              </w:rPr>
              <w:t>?</w:t>
            </w:r>
            <w:r w:rsidRPr="00143CB6">
              <w:rPr>
                <w:rFonts w:asciiTheme="minorHAnsi" w:hAnsiTheme="minorHAnsi" w:cstheme="minorHAnsi"/>
                <w:i/>
                <w:sz w:val="22"/>
                <w:szCs w:val="22"/>
                <w:lang w:val="en-GB"/>
              </w:rPr>
              <w:t xml:space="preserve"> -  status unknown. </w:t>
            </w:r>
          </w:p>
          <w:p w14:paraId="58A1940C" w14:textId="77777777" w:rsidR="0031651C" w:rsidRPr="00143CB6" w:rsidRDefault="0031651C" w:rsidP="00437F65">
            <w:pPr>
              <w:spacing w:after="160" w:line="259" w:lineRule="auto"/>
              <w:jc w:val="both"/>
              <w:rPr>
                <w:rFonts w:asciiTheme="minorHAnsi" w:hAnsiTheme="minorHAnsi" w:cstheme="minorHAnsi"/>
                <w:i/>
                <w:sz w:val="22"/>
                <w:szCs w:val="22"/>
                <w:lang w:val="en-GB"/>
              </w:rPr>
            </w:pPr>
            <w:r w:rsidRPr="00143CB6">
              <w:rPr>
                <w:rFonts w:asciiTheme="minorHAnsi" w:hAnsiTheme="minorHAnsi" w:cstheme="minorHAnsi"/>
                <w:b/>
                <w:sz w:val="22"/>
                <w:szCs w:val="22"/>
                <w:lang w:val="en-GB"/>
              </w:rPr>
              <w:t>NA</w:t>
            </w:r>
            <w:r w:rsidRPr="00143CB6">
              <w:rPr>
                <w:rFonts w:asciiTheme="minorHAnsi" w:hAnsiTheme="minorHAnsi" w:cstheme="minorHAnsi"/>
                <w:i/>
                <w:sz w:val="22"/>
                <w:szCs w:val="22"/>
                <w:lang w:val="en-GB"/>
              </w:rPr>
              <w:t xml:space="preserve"> - Not Applicable </w:t>
            </w:r>
          </w:p>
          <w:p w14:paraId="49B96733" w14:textId="77777777" w:rsidR="0031651C" w:rsidRPr="00143CB6" w:rsidRDefault="0031651C" w:rsidP="00437F65">
            <w:pPr>
              <w:spacing w:after="120"/>
              <w:jc w:val="both"/>
              <w:rPr>
                <w:rFonts w:asciiTheme="minorHAnsi" w:hAnsiTheme="minorHAnsi" w:cstheme="minorHAnsi"/>
                <w:sz w:val="22"/>
                <w:szCs w:val="22"/>
                <w:u w:val="single"/>
                <w:lang w:val="en-GB"/>
              </w:rPr>
            </w:pPr>
            <w:r w:rsidRPr="00143CB6">
              <w:rPr>
                <w:rFonts w:asciiTheme="minorHAnsi" w:hAnsiTheme="minorHAnsi" w:cstheme="minorHAnsi"/>
                <w:sz w:val="22"/>
                <w:szCs w:val="22"/>
                <w:lang w:val="en-GB"/>
              </w:rPr>
              <w:t xml:space="preserve">*applied to assessments of </w:t>
            </w:r>
            <w:r w:rsidRPr="00143CB6">
              <w:rPr>
                <w:rFonts w:asciiTheme="minorHAnsi" w:hAnsiTheme="minorHAnsi" w:cstheme="minorHAnsi"/>
                <w:sz w:val="22"/>
                <w:szCs w:val="22"/>
                <w:u w:val="single"/>
                <w:lang w:val="en-GB"/>
              </w:rPr>
              <w:t>status of the feature or of a criterion, as defined by the assessment values used in the Quality Status Report 2023 or by expert judgement.</w:t>
            </w:r>
          </w:p>
          <w:p w14:paraId="68B8FD5F" w14:textId="1C1E4F78" w:rsidR="0031651C" w:rsidRPr="00143CB6" w:rsidRDefault="001A3CD7" w:rsidP="00437F65">
            <w:pPr>
              <w:spacing w:after="120"/>
              <w:jc w:val="both"/>
              <w:rPr>
                <w:rFonts w:asciiTheme="minorHAnsi" w:hAnsiTheme="minorHAnsi" w:cstheme="minorHAnsi"/>
                <w:b/>
                <w:sz w:val="22"/>
                <w:szCs w:val="22"/>
                <w:u w:val="single"/>
                <w:lang w:val="en-GB"/>
              </w:rPr>
            </w:pPr>
            <w:r>
              <w:rPr>
                <w:rFonts w:asciiTheme="minorHAnsi" w:hAnsiTheme="minorHAnsi" w:cstheme="minorHAnsi"/>
                <w:b/>
                <w:sz w:val="22"/>
                <w:szCs w:val="22"/>
                <w:u w:val="single"/>
                <w:lang w:val="en-GB"/>
              </w:rPr>
              <w:t>Method</w:t>
            </w:r>
            <w:r w:rsidR="0031651C" w:rsidRPr="00143CB6">
              <w:rPr>
                <w:rFonts w:asciiTheme="minorHAnsi" w:hAnsiTheme="minorHAnsi" w:cstheme="minorHAnsi"/>
                <w:b/>
                <w:sz w:val="22"/>
                <w:szCs w:val="22"/>
                <w:u w:val="single"/>
                <w:lang w:val="en-GB"/>
              </w:rPr>
              <w:t xml:space="preserve"> of assessment:</w:t>
            </w:r>
          </w:p>
          <w:p w14:paraId="1BDD0A4B"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1 – direct data driven, </w:t>
            </w:r>
          </w:p>
          <w:p w14:paraId="09E09E7D"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2 – indirect data driven, </w:t>
            </w:r>
          </w:p>
          <w:p w14:paraId="092CE094"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3 – third party assessment close-geographic match, </w:t>
            </w:r>
          </w:p>
          <w:p w14:paraId="19B045F7"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4 - third party assessment partial-geographic match  </w:t>
            </w:r>
          </w:p>
          <w:p w14:paraId="1A78D10D"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5 – expert judgement. </w:t>
            </w:r>
          </w:p>
          <w:p w14:paraId="27F89BAB" w14:textId="77777777" w:rsidR="0031651C" w:rsidRPr="00143CB6" w:rsidRDefault="0031651C" w:rsidP="00437F65">
            <w:pPr>
              <w:widowControl w:val="0"/>
              <w:autoSpaceDE w:val="0"/>
              <w:autoSpaceDN w:val="0"/>
              <w:spacing w:before="120" w:line="338" w:lineRule="auto"/>
              <w:ind w:left="103" w:right="211"/>
              <w:rPr>
                <w:rFonts w:asciiTheme="minorHAnsi" w:eastAsia="Calibri" w:hAnsiTheme="minorHAnsi" w:cstheme="minorHAnsi"/>
                <w:b/>
                <w:sz w:val="22"/>
                <w:szCs w:val="22"/>
                <w:u w:val="single"/>
                <w:lang w:val="en-GB"/>
              </w:rPr>
            </w:pPr>
            <w:r w:rsidRPr="00143CB6">
              <w:rPr>
                <w:rFonts w:asciiTheme="minorHAnsi" w:eastAsia="Calibri" w:hAnsiTheme="minorHAnsi" w:cstheme="minorHAnsi"/>
                <w:b/>
                <w:sz w:val="22"/>
                <w:szCs w:val="22"/>
                <w:u w:val="single"/>
                <w:lang w:val="en-GB"/>
              </w:rPr>
              <w:t>Threats</w:t>
            </w:r>
          </w:p>
          <w:p w14:paraId="0778AE97" w14:textId="798FC030" w:rsidR="0031651C" w:rsidRPr="00143CB6" w:rsidRDefault="0031651C" w:rsidP="00437F65">
            <w:pPr>
              <w:spacing w:after="120"/>
              <w:jc w:val="both"/>
              <w:rPr>
                <w:rFonts w:asciiTheme="minorHAnsi" w:hAnsiTheme="minorHAnsi" w:cstheme="minorHAnsi"/>
                <w:sz w:val="22"/>
                <w:szCs w:val="22"/>
                <w:lang w:val="en-GB"/>
              </w:rPr>
            </w:pPr>
          </w:p>
          <w:tbl>
            <w:tblPr>
              <w:tblW w:w="12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380"/>
              <w:gridCol w:w="1006"/>
              <w:gridCol w:w="1276"/>
              <w:gridCol w:w="1134"/>
              <w:gridCol w:w="1134"/>
              <w:gridCol w:w="709"/>
              <w:gridCol w:w="992"/>
              <w:gridCol w:w="2835"/>
              <w:gridCol w:w="1134"/>
              <w:gridCol w:w="850"/>
            </w:tblGrid>
            <w:tr w:rsidR="00E35188" w:rsidRPr="000B73C7" w14:paraId="13D872B8" w14:textId="77777777" w:rsidTr="00437F65">
              <w:trPr>
                <w:trHeight w:val="1515"/>
              </w:trPr>
              <w:tc>
                <w:tcPr>
                  <w:tcW w:w="1098" w:type="dxa"/>
                  <w:gridSpan w:val="2"/>
                  <w:shd w:val="clear" w:color="auto" w:fill="auto"/>
                  <w:vAlign w:val="center"/>
                  <w:hideMark/>
                </w:tcPr>
                <w:p w14:paraId="3AB67EF8"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Assessment of threats</w:t>
                  </w:r>
                </w:p>
                <w:p w14:paraId="61519EDF" w14:textId="0AE2D29D"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1006" w:type="dxa"/>
                  <w:shd w:val="clear" w:color="auto" w:fill="auto"/>
                  <w:vAlign w:val="center"/>
                  <w:hideMark/>
                </w:tcPr>
                <w:p w14:paraId="1348AE3A"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Barrier to species movement (Building of dams and navigation weirs)</w:t>
                  </w:r>
                </w:p>
              </w:tc>
              <w:tc>
                <w:tcPr>
                  <w:tcW w:w="1276" w:type="dxa"/>
                  <w:shd w:val="clear" w:color="auto" w:fill="auto"/>
                  <w:vAlign w:val="center"/>
                  <w:hideMark/>
                </w:tcPr>
                <w:p w14:paraId="6650990C"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Input of other substances (synthetic/non-synthetic) (Water pollution)</w:t>
                  </w:r>
                </w:p>
              </w:tc>
              <w:tc>
                <w:tcPr>
                  <w:tcW w:w="1134" w:type="dxa"/>
                  <w:shd w:val="clear" w:color="auto" w:fill="auto"/>
                  <w:vAlign w:val="center"/>
                  <w:hideMark/>
                </w:tcPr>
                <w:p w14:paraId="3D0C411E"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Extraction of, or mortality/injury to, wild species (Hydrological manipulation)</w:t>
                  </w:r>
                </w:p>
              </w:tc>
              <w:tc>
                <w:tcPr>
                  <w:tcW w:w="1134" w:type="dxa"/>
                  <w:shd w:val="clear" w:color="auto" w:fill="auto"/>
                  <w:vAlign w:val="center"/>
                  <w:hideMark/>
                </w:tcPr>
                <w:p w14:paraId="1A2AFAFC"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Removal of target species (Fisheries exploitation)</w:t>
                  </w:r>
                </w:p>
              </w:tc>
              <w:tc>
                <w:tcPr>
                  <w:tcW w:w="709" w:type="dxa"/>
                  <w:shd w:val="clear" w:color="auto" w:fill="auto"/>
                  <w:vAlign w:val="center"/>
                  <w:hideMark/>
                </w:tcPr>
                <w:p w14:paraId="7DEB5C47"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Climate change</w:t>
                  </w:r>
                </w:p>
              </w:tc>
              <w:tc>
                <w:tcPr>
                  <w:tcW w:w="992" w:type="dxa"/>
                  <w:shd w:val="clear" w:color="auto" w:fill="auto"/>
                  <w:vAlign w:val="center"/>
                  <w:hideMark/>
                </w:tcPr>
                <w:p w14:paraId="493FFB9D"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Ocean acidification</w:t>
                  </w:r>
                </w:p>
              </w:tc>
              <w:tc>
                <w:tcPr>
                  <w:tcW w:w="2835" w:type="dxa"/>
                  <w:shd w:val="clear" w:color="auto" w:fill="auto"/>
                  <w:vAlign w:val="center"/>
                  <w:hideMark/>
                </w:tcPr>
                <w:p w14:paraId="36A49E90"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Genetic modification and translocation of indigenous species, Introduction of microbial pathogens, Input of nutrients, Input of organic matter, Input of genetically modified species / translocation of species, Loss of/change to natural biological communities (Farmed salmonid aquaculture)</w:t>
                  </w:r>
                </w:p>
              </w:tc>
              <w:tc>
                <w:tcPr>
                  <w:tcW w:w="1134" w:type="dxa"/>
                  <w:shd w:val="clear" w:color="auto" w:fill="auto"/>
                  <w:vAlign w:val="center"/>
                  <w:hideMark/>
                </w:tcPr>
                <w:p w14:paraId="6463BCB2"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Input or spread of non-indigenous species [Non-native salmonid invasion]</w:t>
                  </w:r>
                </w:p>
              </w:tc>
              <w:tc>
                <w:tcPr>
                  <w:tcW w:w="850" w:type="dxa"/>
                  <w:shd w:val="clear" w:color="auto" w:fill="auto"/>
                  <w:vAlign w:val="center"/>
                  <w:hideMark/>
                </w:tcPr>
                <w:p w14:paraId="614AF651" w14:textId="77777777" w:rsidR="00E35188" w:rsidRPr="000B73C7" w:rsidRDefault="00E35188"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Threat</w:t>
                  </w:r>
                </w:p>
              </w:tc>
            </w:tr>
            <w:tr w:rsidR="000B73C7" w:rsidRPr="000B73C7" w14:paraId="186C0E38" w14:textId="77777777" w:rsidTr="00E35188">
              <w:trPr>
                <w:trHeight w:val="360"/>
              </w:trPr>
              <w:tc>
                <w:tcPr>
                  <w:tcW w:w="718" w:type="dxa"/>
                  <w:vMerge w:val="restart"/>
                  <w:shd w:val="clear" w:color="auto" w:fill="auto"/>
                  <w:noWrap/>
                  <w:vAlign w:val="center"/>
                  <w:hideMark/>
                </w:tcPr>
                <w:p w14:paraId="71B5C8E5"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Regions</w:t>
                  </w:r>
                </w:p>
              </w:tc>
              <w:tc>
                <w:tcPr>
                  <w:tcW w:w="380" w:type="dxa"/>
                  <w:shd w:val="clear" w:color="auto" w:fill="auto"/>
                  <w:noWrap/>
                  <w:vAlign w:val="center"/>
                  <w:hideMark/>
                </w:tcPr>
                <w:p w14:paraId="65E8E10A"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I</w:t>
                  </w:r>
                </w:p>
              </w:tc>
              <w:tc>
                <w:tcPr>
                  <w:tcW w:w="1006" w:type="dxa"/>
                  <w:shd w:val="clear" w:color="auto" w:fill="auto"/>
                  <w:noWrap/>
                  <w:vAlign w:val="center"/>
                  <w:hideMark/>
                </w:tcPr>
                <w:p w14:paraId="320E338C"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276" w:type="dxa"/>
                  <w:shd w:val="clear" w:color="auto" w:fill="auto"/>
                  <w:noWrap/>
                  <w:vAlign w:val="center"/>
                  <w:hideMark/>
                </w:tcPr>
                <w:p w14:paraId="65DC3F73"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4D7B0474"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0366C2A4"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2,5</w:t>
                  </w:r>
                </w:p>
              </w:tc>
              <w:tc>
                <w:tcPr>
                  <w:tcW w:w="709" w:type="dxa"/>
                  <w:shd w:val="clear" w:color="auto" w:fill="auto"/>
                  <w:noWrap/>
                  <w:vAlign w:val="center"/>
                  <w:hideMark/>
                </w:tcPr>
                <w:p w14:paraId="1845C1A8"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992" w:type="dxa"/>
                  <w:shd w:val="clear" w:color="auto" w:fill="auto"/>
                  <w:noWrap/>
                  <w:vAlign w:val="center"/>
                  <w:hideMark/>
                </w:tcPr>
                <w:p w14:paraId="472306B9"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2,5</w:t>
                  </w:r>
                </w:p>
              </w:tc>
              <w:tc>
                <w:tcPr>
                  <w:tcW w:w="2835" w:type="dxa"/>
                  <w:shd w:val="clear" w:color="auto" w:fill="auto"/>
                  <w:noWrap/>
                  <w:vAlign w:val="center"/>
                  <w:hideMark/>
                </w:tcPr>
                <w:p w14:paraId="25C5C5FE"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2F49727F"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850" w:type="dxa"/>
                  <w:shd w:val="clear" w:color="000000" w:fill="FF0000"/>
                  <w:noWrap/>
                  <w:vAlign w:val="center"/>
                  <w:hideMark/>
                </w:tcPr>
                <w:p w14:paraId="2FBA4815" w14:textId="77777777" w:rsidR="000B73C7" w:rsidRPr="000B73C7" w:rsidRDefault="000B73C7"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r>
            <w:tr w:rsidR="000B73C7" w:rsidRPr="000B73C7" w14:paraId="2832B1C7" w14:textId="77777777" w:rsidTr="00E35188">
              <w:trPr>
                <w:trHeight w:val="360"/>
              </w:trPr>
              <w:tc>
                <w:tcPr>
                  <w:tcW w:w="718" w:type="dxa"/>
                  <w:vMerge/>
                  <w:vAlign w:val="center"/>
                  <w:hideMark/>
                </w:tcPr>
                <w:p w14:paraId="046A43DA" w14:textId="77777777" w:rsidR="000B73C7" w:rsidRPr="000B73C7" w:rsidRDefault="000B73C7" w:rsidP="000B73C7">
                  <w:pPr>
                    <w:rPr>
                      <w:rFonts w:ascii="Calibri" w:hAnsi="Calibri" w:cs="Calibri"/>
                      <w:color w:val="000000"/>
                      <w:sz w:val="14"/>
                      <w:szCs w:val="14"/>
                      <w:lang w:val="en-GB" w:eastAsia="en-GB"/>
                    </w:rPr>
                  </w:pPr>
                </w:p>
              </w:tc>
              <w:tc>
                <w:tcPr>
                  <w:tcW w:w="380" w:type="dxa"/>
                  <w:shd w:val="clear" w:color="auto" w:fill="auto"/>
                  <w:noWrap/>
                  <w:vAlign w:val="center"/>
                  <w:hideMark/>
                </w:tcPr>
                <w:p w14:paraId="7BB9BCF0"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II</w:t>
                  </w:r>
                </w:p>
              </w:tc>
              <w:tc>
                <w:tcPr>
                  <w:tcW w:w="1006" w:type="dxa"/>
                  <w:shd w:val="clear" w:color="auto" w:fill="auto"/>
                  <w:noWrap/>
                  <w:vAlign w:val="center"/>
                  <w:hideMark/>
                </w:tcPr>
                <w:p w14:paraId="1F922C9D"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xml:space="preserve">↔ </w:t>
                  </w:r>
                  <w:r w:rsidRPr="000B73C7">
                    <w:rPr>
                      <w:rFonts w:ascii="Calibri" w:hAnsi="Calibri" w:cs="Calibri"/>
                      <w:color w:val="000000"/>
                      <w:sz w:val="14"/>
                      <w:szCs w:val="14"/>
                      <w:vertAlign w:val="superscript"/>
                      <w:lang w:val="en-GB" w:eastAsia="en-GB"/>
                    </w:rPr>
                    <w:t>5</w:t>
                  </w:r>
                </w:p>
              </w:tc>
              <w:tc>
                <w:tcPr>
                  <w:tcW w:w="1276" w:type="dxa"/>
                  <w:shd w:val="clear" w:color="auto" w:fill="auto"/>
                  <w:noWrap/>
                  <w:vAlign w:val="center"/>
                  <w:hideMark/>
                </w:tcPr>
                <w:p w14:paraId="45C64C64"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636D6B7F"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77C1D8CD"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2,5</w:t>
                  </w:r>
                </w:p>
              </w:tc>
              <w:tc>
                <w:tcPr>
                  <w:tcW w:w="709" w:type="dxa"/>
                  <w:shd w:val="clear" w:color="auto" w:fill="auto"/>
                  <w:noWrap/>
                  <w:vAlign w:val="center"/>
                  <w:hideMark/>
                </w:tcPr>
                <w:p w14:paraId="62A71F5D"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3,5</w:t>
                  </w:r>
                </w:p>
              </w:tc>
              <w:tc>
                <w:tcPr>
                  <w:tcW w:w="992" w:type="dxa"/>
                  <w:shd w:val="clear" w:color="auto" w:fill="auto"/>
                  <w:noWrap/>
                  <w:vAlign w:val="center"/>
                  <w:hideMark/>
                </w:tcPr>
                <w:p w14:paraId="406B2C65"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2835" w:type="dxa"/>
                  <w:shd w:val="clear" w:color="auto" w:fill="auto"/>
                  <w:noWrap/>
                  <w:vAlign w:val="center"/>
                  <w:hideMark/>
                </w:tcPr>
                <w:p w14:paraId="6A92F0F6"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2232F824"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850" w:type="dxa"/>
                  <w:shd w:val="clear" w:color="000000" w:fill="FF0000"/>
                  <w:noWrap/>
                  <w:vAlign w:val="center"/>
                  <w:hideMark/>
                </w:tcPr>
                <w:p w14:paraId="186650B3" w14:textId="77777777" w:rsidR="000B73C7" w:rsidRPr="000B73C7" w:rsidRDefault="000B73C7"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r>
            <w:tr w:rsidR="000B73C7" w:rsidRPr="000B73C7" w14:paraId="6FA0617A" w14:textId="77777777" w:rsidTr="00E35188">
              <w:trPr>
                <w:trHeight w:val="360"/>
              </w:trPr>
              <w:tc>
                <w:tcPr>
                  <w:tcW w:w="718" w:type="dxa"/>
                  <w:vMerge/>
                  <w:vAlign w:val="center"/>
                  <w:hideMark/>
                </w:tcPr>
                <w:p w14:paraId="3BDAF576" w14:textId="77777777" w:rsidR="000B73C7" w:rsidRPr="000B73C7" w:rsidRDefault="000B73C7" w:rsidP="000B73C7">
                  <w:pPr>
                    <w:rPr>
                      <w:rFonts w:ascii="Calibri" w:hAnsi="Calibri" w:cs="Calibri"/>
                      <w:color w:val="000000"/>
                      <w:sz w:val="14"/>
                      <w:szCs w:val="14"/>
                      <w:lang w:val="en-GB" w:eastAsia="en-GB"/>
                    </w:rPr>
                  </w:pPr>
                </w:p>
              </w:tc>
              <w:tc>
                <w:tcPr>
                  <w:tcW w:w="380" w:type="dxa"/>
                  <w:shd w:val="clear" w:color="auto" w:fill="auto"/>
                  <w:noWrap/>
                  <w:vAlign w:val="center"/>
                  <w:hideMark/>
                </w:tcPr>
                <w:p w14:paraId="5A07855C"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III</w:t>
                  </w:r>
                </w:p>
              </w:tc>
              <w:tc>
                <w:tcPr>
                  <w:tcW w:w="1006" w:type="dxa"/>
                  <w:shd w:val="clear" w:color="auto" w:fill="auto"/>
                  <w:noWrap/>
                  <w:vAlign w:val="center"/>
                  <w:hideMark/>
                </w:tcPr>
                <w:p w14:paraId="6D93FDED"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xml:space="preserve">↔ </w:t>
                  </w:r>
                  <w:r w:rsidRPr="000B73C7">
                    <w:rPr>
                      <w:rFonts w:ascii="Calibri" w:hAnsi="Calibri" w:cs="Calibri"/>
                      <w:color w:val="000000"/>
                      <w:sz w:val="14"/>
                      <w:szCs w:val="14"/>
                      <w:vertAlign w:val="superscript"/>
                      <w:lang w:val="en-GB" w:eastAsia="en-GB"/>
                    </w:rPr>
                    <w:t>5</w:t>
                  </w:r>
                </w:p>
              </w:tc>
              <w:tc>
                <w:tcPr>
                  <w:tcW w:w="1276" w:type="dxa"/>
                  <w:shd w:val="clear" w:color="auto" w:fill="auto"/>
                  <w:noWrap/>
                  <w:vAlign w:val="center"/>
                  <w:hideMark/>
                </w:tcPr>
                <w:p w14:paraId="61814F54"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38CD2873"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3195A2F0"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2,5</w:t>
                  </w:r>
                </w:p>
              </w:tc>
              <w:tc>
                <w:tcPr>
                  <w:tcW w:w="709" w:type="dxa"/>
                  <w:shd w:val="clear" w:color="auto" w:fill="auto"/>
                  <w:noWrap/>
                  <w:vAlign w:val="center"/>
                  <w:hideMark/>
                </w:tcPr>
                <w:p w14:paraId="54989EE3"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3,5</w:t>
                  </w:r>
                </w:p>
              </w:tc>
              <w:tc>
                <w:tcPr>
                  <w:tcW w:w="992" w:type="dxa"/>
                  <w:shd w:val="clear" w:color="auto" w:fill="auto"/>
                  <w:noWrap/>
                  <w:vAlign w:val="center"/>
                  <w:hideMark/>
                </w:tcPr>
                <w:p w14:paraId="7E14522A"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2835" w:type="dxa"/>
                  <w:shd w:val="clear" w:color="auto" w:fill="auto"/>
                  <w:noWrap/>
                  <w:vAlign w:val="center"/>
                  <w:hideMark/>
                </w:tcPr>
                <w:p w14:paraId="6CA0FE15"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774049F6"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850" w:type="dxa"/>
                  <w:shd w:val="clear" w:color="000000" w:fill="FF0000"/>
                  <w:noWrap/>
                  <w:vAlign w:val="center"/>
                  <w:hideMark/>
                </w:tcPr>
                <w:p w14:paraId="78625694" w14:textId="77777777" w:rsidR="000B73C7" w:rsidRPr="000B73C7" w:rsidRDefault="000B73C7" w:rsidP="00E35188">
                  <w:pPr>
                    <w:ind w:right="436"/>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r>
            <w:tr w:rsidR="000B73C7" w:rsidRPr="000B73C7" w14:paraId="122EE667" w14:textId="77777777" w:rsidTr="00E35188">
              <w:trPr>
                <w:trHeight w:val="360"/>
              </w:trPr>
              <w:tc>
                <w:tcPr>
                  <w:tcW w:w="718" w:type="dxa"/>
                  <w:vMerge/>
                  <w:vAlign w:val="center"/>
                  <w:hideMark/>
                </w:tcPr>
                <w:p w14:paraId="76C86CF1" w14:textId="77777777" w:rsidR="000B73C7" w:rsidRPr="000B73C7" w:rsidRDefault="000B73C7" w:rsidP="000B73C7">
                  <w:pPr>
                    <w:rPr>
                      <w:rFonts w:ascii="Calibri" w:hAnsi="Calibri" w:cs="Calibri"/>
                      <w:color w:val="000000"/>
                      <w:sz w:val="14"/>
                      <w:szCs w:val="14"/>
                      <w:lang w:val="en-GB" w:eastAsia="en-GB"/>
                    </w:rPr>
                  </w:pPr>
                </w:p>
              </w:tc>
              <w:tc>
                <w:tcPr>
                  <w:tcW w:w="380" w:type="dxa"/>
                  <w:shd w:val="clear" w:color="auto" w:fill="auto"/>
                  <w:noWrap/>
                  <w:vAlign w:val="center"/>
                  <w:hideMark/>
                </w:tcPr>
                <w:p w14:paraId="020861D9"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IV</w:t>
                  </w:r>
                </w:p>
              </w:tc>
              <w:tc>
                <w:tcPr>
                  <w:tcW w:w="1006" w:type="dxa"/>
                  <w:shd w:val="clear" w:color="auto" w:fill="auto"/>
                  <w:noWrap/>
                  <w:vAlign w:val="center"/>
                  <w:hideMark/>
                </w:tcPr>
                <w:p w14:paraId="169E84E5"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276" w:type="dxa"/>
                  <w:shd w:val="clear" w:color="auto" w:fill="auto"/>
                  <w:noWrap/>
                  <w:vAlign w:val="center"/>
                  <w:hideMark/>
                </w:tcPr>
                <w:p w14:paraId="5A5D0E79"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3F011B2A"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287BE09E"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709" w:type="dxa"/>
                  <w:shd w:val="clear" w:color="auto" w:fill="auto"/>
                  <w:noWrap/>
                  <w:vAlign w:val="center"/>
                  <w:hideMark/>
                </w:tcPr>
                <w:p w14:paraId="3364D661"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992" w:type="dxa"/>
                  <w:shd w:val="clear" w:color="auto" w:fill="auto"/>
                  <w:noWrap/>
                  <w:vAlign w:val="center"/>
                  <w:hideMark/>
                </w:tcPr>
                <w:p w14:paraId="3E811DEE"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2835" w:type="dxa"/>
                  <w:shd w:val="clear" w:color="auto" w:fill="auto"/>
                  <w:noWrap/>
                  <w:vAlign w:val="center"/>
                  <w:hideMark/>
                </w:tcPr>
                <w:p w14:paraId="7A66135E"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1134" w:type="dxa"/>
                  <w:shd w:val="clear" w:color="auto" w:fill="auto"/>
                  <w:noWrap/>
                  <w:vAlign w:val="center"/>
                  <w:hideMark/>
                </w:tcPr>
                <w:p w14:paraId="3901EA2B"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w:t>
                  </w:r>
                  <w:r w:rsidRPr="000B73C7">
                    <w:rPr>
                      <w:rFonts w:ascii="Calibri" w:hAnsi="Calibri" w:cs="Calibri"/>
                      <w:color w:val="000000"/>
                      <w:sz w:val="14"/>
                      <w:szCs w:val="14"/>
                      <w:vertAlign w:val="superscript"/>
                      <w:lang w:val="en-GB" w:eastAsia="en-GB"/>
                    </w:rPr>
                    <w:t>5</w:t>
                  </w:r>
                </w:p>
              </w:tc>
              <w:tc>
                <w:tcPr>
                  <w:tcW w:w="850" w:type="dxa"/>
                  <w:shd w:val="clear" w:color="000000" w:fill="FF0000"/>
                  <w:noWrap/>
                  <w:vAlign w:val="center"/>
                  <w:hideMark/>
                </w:tcPr>
                <w:p w14:paraId="1981588D" w14:textId="77777777" w:rsidR="000B73C7" w:rsidRPr="000B73C7" w:rsidRDefault="000B73C7" w:rsidP="000B73C7">
                  <w:pP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r>
            <w:tr w:rsidR="000B73C7" w:rsidRPr="000B73C7" w14:paraId="303E300B" w14:textId="77777777" w:rsidTr="00E35188">
              <w:trPr>
                <w:trHeight w:val="315"/>
              </w:trPr>
              <w:tc>
                <w:tcPr>
                  <w:tcW w:w="718" w:type="dxa"/>
                  <w:vMerge/>
                  <w:vAlign w:val="center"/>
                  <w:hideMark/>
                </w:tcPr>
                <w:p w14:paraId="2C49B458" w14:textId="77777777" w:rsidR="000B73C7" w:rsidRPr="000B73C7" w:rsidRDefault="000B73C7" w:rsidP="000B73C7">
                  <w:pPr>
                    <w:rPr>
                      <w:rFonts w:ascii="Calibri" w:hAnsi="Calibri" w:cs="Calibri"/>
                      <w:color w:val="000000"/>
                      <w:sz w:val="14"/>
                      <w:szCs w:val="14"/>
                      <w:lang w:val="en-GB" w:eastAsia="en-GB"/>
                    </w:rPr>
                  </w:pPr>
                </w:p>
              </w:tc>
              <w:tc>
                <w:tcPr>
                  <w:tcW w:w="380" w:type="dxa"/>
                  <w:shd w:val="clear" w:color="auto" w:fill="auto"/>
                  <w:vAlign w:val="center"/>
                  <w:hideMark/>
                </w:tcPr>
                <w:p w14:paraId="22984CEB"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V</w:t>
                  </w:r>
                </w:p>
              </w:tc>
              <w:tc>
                <w:tcPr>
                  <w:tcW w:w="1006" w:type="dxa"/>
                  <w:shd w:val="clear" w:color="auto" w:fill="auto"/>
                  <w:vAlign w:val="center"/>
                  <w:hideMark/>
                </w:tcPr>
                <w:p w14:paraId="47CB88A5"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1276" w:type="dxa"/>
                  <w:shd w:val="clear" w:color="auto" w:fill="auto"/>
                  <w:vAlign w:val="center"/>
                  <w:hideMark/>
                </w:tcPr>
                <w:p w14:paraId="66460166"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1134" w:type="dxa"/>
                  <w:shd w:val="clear" w:color="auto" w:fill="auto"/>
                  <w:vAlign w:val="center"/>
                  <w:hideMark/>
                </w:tcPr>
                <w:p w14:paraId="26B08FA1"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1134" w:type="dxa"/>
                  <w:shd w:val="clear" w:color="auto" w:fill="auto"/>
                  <w:vAlign w:val="center"/>
                  <w:hideMark/>
                </w:tcPr>
                <w:p w14:paraId="5E82EAB4"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709" w:type="dxa"/>
                  <w:shd w:val="clear" w:color="auto" w:fill="auto"/>
                  <w:vAlign w:val="center"/>
                  <w:hideMark/>
                </w:tcPr>
                <w:p w14:paraId="5F72E5B6"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992" w:type="dxa"/>
                  <w:shd w:val="clear" w:color="auto" w:fill="auto"/>
                  <w:vAlign w:val="center"/>
                  <w:hideMark/>
                </w:tcPr>
                <w:p w14:paraId="55E36DA7"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2835" w:type="dxa"/>
                  <w:shd w:val="clear" w:color="auto" w:fill="auto"/>
                  <w:vAlign w:val="center"/>
                  <w:hideMark/>
                </w:tcPr>
                <w:p w14:paraId="10F28726"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1134" w:type="dxa"/>
                  <w:shd w:val="clear" w:color="auto" w:fill="auto"/>
                  <w:vAlign w:val="center"/>
                  <w:hideMark/>
                </w:tcPr>
                <w:p w14:paraId="43376A5C" w14:textId="77777777" w:rsidR="000B73C7" w:rsidRPr="000B73C7" w:rsidRDefault="000B73C7" w:rsidP="000B73C7">
                  <w:pPr>
                    <w:jc w:val="center"/>
                    <w:rPr>
                      <w:rFonts w:ascii="Calibri" w:hAnsi="Calibri" w:cs="Calibri"/>
                      <w:color w:val="000000"/>
                      <w:sz w:val="14"/>
                      <w:szCs w:val="14"/>
                      <w:lang w:val="en-GB" w:eastAsia="en-GB"/>
                    </w:rPr>
                  </w:pPr>
                  <w:r w:rsidRPr="000B73C7">
                    <w:rPr>
                      <w:rFonts w:ascii="Calibri" w:hAnsi="Calibri" w:cs="Calibri"/>
                      <w:color w:val="000000"/>
                      <w:sz w:val="14"/>
                      <w:szCs w:val="14"/>
                      <w:lang w:val="en-GB" w:eastAsia="en-GB"/>
                    </w:rPr>
                    <w:t> </w:t>
                  </w:r>
                </w:p>
              </w:tc>
              <w:tc>
                <w:tcPr>
                  <w:tcW w:w="850" w:type="dxa"/>
                  <w:shd w:val="clear" w:color="000000" w:fill="D9D9D9"/>
                  <w:vAlign w:val="center"/>
                  <w:hideMark/>
                </w:tcPr>
                <w:p w14:paraId="3FF8360C" w14:textId="77777777" w:rsidR="000B73C7" w:rsidRPr="000B73C7" w:rsidRDefault="000B73C7" w:rsidP="000B73C7">
                  <w:pPr>
                    <w:jc w:val="center"/>
                    <w:rPr>
                      <w:rFonts w:ascii="Calibri" w:hAnsi="Calibri" w:cs="Calibri"/>
                      <w:b/>
                      <w:bCs/>
                      <w:color w:val="000000"/>
                      <w:sz w:val="14"/>
                      <w:szCs w:val="14"/>
                      <w:lang w:val="en-GB" w:eastAsia="en-GB"/>
                    </w:rPr>
                  </w:pPr>
                  <w:r w:rsidRPr="000B73C7">
                    <w:rPr>
                      <w:rFonts w:ascii="Calibri" w:hAnsi="Calibri" w:cs="Calibri"/>
                      <w:b/>
                      <w:bCs/>
                      <w:color w:val="000000"/>
                      <w:sz w:val="14"/>
                      <w:szCs w:val="14"/>
                      <w:lang w:val="en-GB" w:eastAsia="en-GB"/>
                    </w:rPr>
                    <w:t>NA</w:t>
                  </w:r>
                </w:p>
              </w:tc>
            </w:tr>
          </w:tbl>
          <w:p w14:paraId="2AF4CD10" w14:textId="77777777" w:rsidR="004161FF" w:rsidRDefault="004161FF" w:rsidP="00437F65">
            <w:pPr>
              <w:tabs>
                <w:tab w:val="left" w:pos="2580"/>
              </w:tabs>
              <w:spacing w:after="120"/>
              <w:jc w:val="both"/>
              <w:rPr>
                <w:rFonts w:asciiTheme="minorHAnsi" w:hAnsiTheme="minorHAnsi" w:cstheme="minorHAnsi"/>
                <w:sz w:val="22"/>
                <w:szCs w:val="22"/>
                <w:lang w:val="en-GB"/>
              </w:rPr>
            </w:pPr>
          </w:p>
          <w:p w14:paraId="208770CC" w14:textId="42FACF70" w:rsidR="0031651C" w:rsidRPr="00143CB6" w:rsidRDefault="0031651C" w:rsidP="00437F65">
            <w:pPr>
              <w:tabs>
                <w:tab w:val="left" w:pos="2580"/>
              </w:tabs>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Explanation to table: </w:t>
            </w:r>
          </w:p>
          <w:p w14:paraId="06FEF97C" w14:textId="77777777" w:rsidR="0031651C" w:rsidRPr="00143CB6" w:rsidRDefault="0031651C" w:rsidP="00437F65">
            <w:pPr>
              <w:tabs>
                <w:tab w:val="left" w:pos="2580"/>
              </w:tabs>
              <w:spacing w:after="120"/>
              <w:jc w:val="both"/>
              <w:rPr>
                <w:rFonts w:asciiTheme="minorHAnsi" w:hAnsiTheme="minorHAnsi" w:cstheme="minorHAnsi"/>
                <w:sz w:val="22"/>
                <w:szCs w:val="22"/>
                <w:lang w:val="en-GB"/>
              </w:rPr>
            </w:pPr>
            <w:r w:rsidRPr="00143CB6">
              <w:rPr>
                <w:rFonts w:asciiTheme="minorHAnsi" w:hAnsiTheme="minorHAnsi" w:cstheme="minorHAnsi"/>
                <w:b/>
                <w:sz w:val="22"/>
                <w:szCs w:val="22"/>
                <w:u w:val="single"/>
                <w:lang w:val="en-GB"/>
              </w:rPr>
              <w:t>Key Pressure</w:t>
            </w:r>
          </w:p>
          <w:p w14:paraId="7EB5C670"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b/>
                <w:bCs/>
                <w:sz w:val="22"/>
                <w:szCs w:val="22"/>
                <w:lang w:val="en-GB"/>
              </w:rPr>
              <w:t>↓</w:t>
            </w:r>
            <w:r w:rsidRPr="00143CB6">
              <w:rPr>
                <w:rFonts w:asciiTheme="minorHAnsi" w:hAnsiTheme="minorHAnsi" w:cstheme="minorHAnsi"/>
                <w:b/>
                <w:bCs/>
                <w:sz w:val="22"/>
                <w:szCs w:val="22"/>
                <w:lang w:val="en-GB"/>
              </w:rPr>
              <w:tab/>
            </w:r>
            <w:r w:rsidRPr="00143CB6">
              <w:rPr>
                <w:rFonts w:asciiTheme="minorHAnsi" w:hAnsiTheme="minorHAnsi" w:cstheme="minorHAnsi"/>
                <w:sz w:val="22"/>
                <w:szCs w:val="22"/>
                <w:lang w:val="en-GB"/>
              </w:rPr>
              <w:t xml:space="preserve">key pressures and human activities reducing </w:t>
            </w:r>
          </w:p>
          <w:p w14:paraId="1E8A9FF7" w14:textId="77777777" w:rsidR="0031651C" w:rsidRPr="00143CB6" w:rsidRDefault="0031651C" w:rsidP="00437F65">
            <w:pPr>
              <w:spacing w:after="120"/>
              <w:jc w:val="both"/>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w:t>
            </w:r>
            <w:r w:rsidRPr="00143CB6">
              <w:rPr>
                <w:rFonts w:asciiTheme="minorHAnsi" w:hAnsiTheme="minorHAnsi" w:cstheme="minorHAnsi"/>
                <w:b/>
                <w:bCs/>
                <w:sz w:val="22"/>
                <w:szCs w:val="22"/>
                <w:lang w:val="en-GB"/>
              </w:rPr>
              <w:tab/>
            </w:r>
            <w:r w:rsidRPr="00143CB6">
              <w:rPr>
                <w:rFonts w:asciiTheme="minorHAnsi" w:hAnsiTheme="minorHAnsi" w:cstheme="minorHAnsi"/>
                <w:sz w:val="22"/>
                <w:szCs w:val="22"/>
                <w:lang w:val="en-GB"/>
              </w:rPr>
              <w:t>key pressures and human activities increasing</w:t>
            </w:r>
          </w:p>
          <w:p w14:paraId="47278226"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b/>
                <w:bCs/>
                <w:sz w:val="22"/>
                <w:szCs w:val="22"/>
                <w:lang w:val="en-GB"/>
              </w:rPr>
              <w:t xml:space="preserve">←→ </w:t>
            </w:r>
            <w:r w:rsidRPr="00143CB6">
              <w:rPr>
                <w:rFonts w:asciiTheme="minorHAnsi" w:hAnsiTheme="minorHAnsi" w:cstheme="minorHAnsi"/>
                <w:b/>
                <w:bCs/>
                <w:sz w:val="22"/>
                <w:szCs w:val="22"/>
                <w:lang w:val="en-GB"/>
              </w:rPr>
              <w:tab/>
            </w:r>
            <w:r w:rsidRPr="00143CB6">
              <w:rPr>
                <w:rFonts w:asciiTheme="minorHAnsi" w:hAnsiTheme="minorHAnsi" w:cstheme="minorHAnsi"/>
                <w:sz w:val="22"/>
                <w:szCs w:val="22"/>
                <w:lang w:val="en-GB"/>
              </w:rPr>
              <w:t>no change in key pressures and human activities</w:t>
            </w:r>
          </w:p>
          <w:p w14:paraId="51B8C737" w14:textId="77777777" w:rsidR="0031651C" w:rsidRPr="00143CB6" w:rsidRDefault="0031651C" w:rsidP="00437F65">
            <w:pPr>
              <w:spacing w:after="120"/>
              <w:jc w:val="both"/>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 xml:space="preserve">? </w:t>
            </w:r>
            <w:r w:rsidRPr="00143CB6">
              <w:rPr>
                <w:rFonts w:asciiTheme="minorHAnsi" w:hAnsiTheme="minorHAnsi" w:cstheme="minorHAnsi"/>
                <w:sz w:val="22"/>
                <w:szCs w:val="22"/>
                <w:lang w:val="en-GB"/>
              </w:rPr>
              <w:t>Change in pressure and human activities uncertain</w:t>
            </w:r>
          </w:p>
          <w:p w14:paraId="38BF79E6"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b/>
                <w:sz w:val="22"/>
                <w:szCs w:val="22"/>
                <w:u w:val="single"/>
                <w:lang w:val="en-GB"/>
              </w:rPr>
              <w:t xml:space="preserve">Threats or impacts </w:t>
            </w:r>
            <w:r w:rsidRPr="00143CB6">
              <w:rPr>
                <w:rFonts w:asciiTheme="minorHAnsi" w:hAnsiTheme="minorHAnsi" w:cstheme="minorHAnsi"/>
                <w:sz w:val="22"/>
                <w:szCs w:val="22"/>
                <w:lang w:val="en-GB"/>
              </w:rPr>
              <w:t>(overall assessment)</w:t>
            </w:r>
          </w:p>
          <w:p w14:paraId="24B43C21"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highlight w:val="red"/>
                <w:lang w:val="en-GB"/>
              </w:rPr>
              <w:t>red</w:t>
            </w:r>
            <w:r w:rsidRPr="00143CB6">
              <w:rPr>
                <w:rFonts w:asciiTheme="minorHAnsi" w:hAnsiTheme="minorHAnsi" w:cstheme="minorHAnsi"/>
                <w:sz w:val="22"/>
                <w:szCs w:val="22"/>
                <w:lang w:val="en-GB"/>
              </w:rPr>
              <w:t xml:space="preserve"> – significant threat or impact;</w:t>
            </w:r>
          </w:p>
          <w:p w14:paraId="31739415"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highlight w:val="green"/>
                <w:lang w:val="en-GB"/>
              </w:rPr>
              <w:t>green</w:t>
            </w:r>
            <w:r w:rsidRPr="00143CB6">
              <w:rPr>
                <w:rFonts w:asciiTheme="minorHAnsi" w:hAnsiTheme="minorHAnsi" w:cstheme="minorHAnsi"/>
                <w:sz w:val="22"/>
                <w:szCs w:val="22"/>
                <w:lang w:val="en-GB"/>
              </w:rPr>
              <w:t xml:space="preserve"> –no evidence of a significant threat or impact</w:t>
            </w:r>
          </w:p>
          <w:p w14:paraId="3A04B828" w14:textId="77777777" w:rsidR="0031651C" w:rsidRDefault="0031651C" w:rsidP="00437F65">
            <w:pPr>
              <w:spacing w:after="120"/>
              <w:jc w:val="both"/>
              <w:rPr>
                <w:rFonts w:asciiTheme="minorHAnsi" w:hAnsiTheme="minorHAnsi" w:cstheme="minorHAnsi"/>
                <w:b/>
                <w:sz w:val="22"/>
                <w:szCs w:val="22"/>
                <w:u w:val="single"/>
                <w:lang w:val="en-GB"/>
              </w:rPr>
            </w:pPr>
            <w:r w:rsidRPr="00143CB6">
              <w:rPr>
                <w:rFonts w:asciiTheme="minorHAnsi" w:hAnsiTheme="minorHAnsi" w:cstheme="minorHAnsi"/>
                <w:sz w:val="22"/>
                <w:szCs w:val="22"/>
                <w:shd w:val="clear" w:color="auto" w:fill="DAEEF3"/>
                <w:lang w:val="en-GB"/>
              </w:rPr>
              <w:t>Blue cells</w:t>
            </w:r>
            <w:r w:rsidRPr="00143CB6">
              <w:rPr>
                <w:rFonts w:asciiTheme="minorHAnsi" w:hAnsiTheme="minorHAnsi" w:cstheme="minorHAnsi"/>
                <w:sz w:val="22"/>
                <w:szCs w:val="22"/>
                <w:lang w:val="en-GB"/>
              </w:rPr>
              <w:t xml:space="preserve"> – insufficient information available</w:t>
            </w:r>
            <w:r w:rsidRPr="00143CB6">
              <w:rPr>
                <w:rFonts w:asciiTheme="minorHAnsi" w:hAnsiTheme="minorHAnsi" w:cstheme="minorHAnsi"/>
                <w:b/>
                <w:sz w:val="22"/>
                <w:szCs w:val="22"/>
                <w:u w:val="single"/>
                <w:lang w:val="en-GB"/>
              </w:rPr>
              <w:t xml:space="preserve"> </w:t>
            </w:r>
          </w:p>
          <w:p w14:paraId="11AE2F56" w14:textId="3AF04BCF" w:rsidR="00F55565" w:rsidRPr="00F55565" w:rsidRDefault="00F55565" w:rsidP="00437F65">
            <w:pPr>
              <w:spacing w:after="120"/>
              <w:jc w:val="both"/>
              <w:rPr>
                <w:rFonts w:asciiTheme="minorHAnsi" w:hAnsiTheme="minorHAnsi" w:cstheme="minorHAnsi"/>
                <w:b/>
                <w:sz w:val="22"/>
                <w:szCs w:val="22"/>
                <w:lang w:val="en-GB"/>
              </w:rPr>
            </w:pPr>
            <w:r w:rsidRPr="00F55565">
              <w:rPr>
                <w:rFonts w:asciiTheme="minorHAnsi" w:hAnsiTheme="minorHAnsi" w:cstheme="minorHAnsi"/>
                <w:b/>
                <w:sz w:val="22"/>
                <w:szCs w:val="22"/>
                <w:lang w:val="en-GB"/>
              </w:rPr>
              <w:t xml:space="preserve">NA – </w:t>
            </w:r>
            <w:r w:rsidRPr="00F55565">
              <w:rPr>
                <w:rFonts w:asciiTheme="minorHAnsi" w:hAnsiTheme="minorHAnsi" w:cstheme="minorHAnsi"/>
                <w:bCs/>
                <w:sz w:val="22"/>
                <w:szCs w:val="22"/>
                <w:lang w:val="en-GB"/>
              </w:rPr>
              <w:t>not applicable</w:t>
            </w:r>
          </w:p>
          <w:p w14:paraId="621997CB" w14:textId="4DD2073B" w:rsidR="0031651C" w:rsidRPr="00143CB6" w:rsidRDefault="00F55565" w:rsidP="00437F65">
            <w:pPr>
              <w:spacing w:after="120"/>
              <w:jc w:val="both"/>
              <w:rPr>
                <w:rFonts w:asciiTheme="minorHAnsi" w:hAnsiTheme="minorHAnsi" w:cstheme="minorHAnsi"/>
                <w:b/>
                <w:sz w:val="22"/>
                <w:szCs w:val="22"/>
                <w:u w:val="single"/>
                <w:lang w:val="en-GB"/>
              </w:rPr>
            </w:pPr>
            <w:r>
              <w:rPr>
                <w:rFonts w:asciiTheme="minorHAnsi" w:hAnsiTheme="minorHAnsi" w:cstheme="minorHAnsi"/>
                <w:b/>
                <w:sz w:val="22"/>
                <w:szCs w:val="22"/>
                <w:u w:val="single"/>
                <w:lang w:val="en-GB"/>
              </w:rPr>
              <w:t>Method</w:t>
            </w:r>
            <w:r w:rsidR="0031651C" w:rsidRPr="00143CB6">
              <w:rPr>
                <w:rFonts w:asciiTheme="minorHAnsi" w:hAnsiTheme="minorHAnsi" w:cstheme="minorHAnsi"/>
                <w:b/>
                <w:sz w:val="22"/>
                <w:szCs w:val="22"/>
                <w:u w:val="single"/>
                <w:lang w:val="en-GB"/>
              </w:rPr>
              <w:t xml:space="preserve"> of assessment:</w:t>
            </w:r>
          </w:p>
          <w:p w14:paraId="0AE1289B"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1 – direct data driven, </w:t>
            </w:r>
          </w:p>
          <w:p w14:paraId="7ADF7E53"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2 – indirect data driven, </w:t>
            </w:r>
          </w:p>
          <w:p w14:paraId="6AFE22F2"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3 – third party assessment close-geographic match, </w:t>
            </w:r>
          </w:p>
          <w:p w14:paraId="328F943A"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4 - third party assessment partial-geographic match  </w:t>
            </w:r>
          </w:p>
          <w:p w14:paraId="426A1EBB" w14:textId="5A1B6DAA"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5 – expert judgement. </w:t>
            </w:r>
          </w:p>
        </w:tc>
      </w:tr>
    </w:tbl>
    <w:p w14:paraId="4C3E82A8" w14:textId="77777777" w:rsidR="0068150E" w:rsidRDefault="0068150E" w:rsidP="00437F65">
      <w:pPr>
        <w:spacing w:after="120"/>
        <w:jc w:val="both"/>
        <w:rPr>
          <w:rFonts w:asciiTheme="minorHAnsi" w:hAnsiTheme="minorHAnsi" w:cstheme="minorHAnsi"/>
          <w:sz w:val="22"/>
          <w:szCs w:val="22"/>
          <w:lang w:val="en-GB"/>
        </w:rPr>
        <w:sectPr w:rsidR="0068150E" w:rsidSect="0068150E">
          <w:footerReference w:type="default" r:id="rId19"/>
          <w:footerReference w:type="first" r:id="rId20"/>
          <w:pgSz w:w="16838" w:h="11906" w:orient="landscape"/>
          <w:pgMar w:top="1134" w:right="1134" w:bottom="1134" w:left="1134" w:header="709" w:footer="709" w:gutter="0"/>
          <w:pgNumType w:start="1"/>
          <w:cols w:space="708"/>
          <w:titlePg/>
          <w:docGrid w:linePitch="360"/>
        </w:sectPr>
      </w:pPr>
    </w:p>
    <w:tbl>
      <w:tblPr>
        <w:tblStyle w:val="TableGrid1"/>
        <w:tblW w:w="9821" w:type="dxa"/>
        <w:tblLayout w:type="fixed"/>
        <w:tblLook w:val="04A0" w:firstRow="1" w:lastRow="0" w:firstColumn="1" w:lastColumn="0" w:noHBand="0" w:noVBand="1"/>
      </w:tblPr>
      <w:tblGrid>
        <w:gridCol w:w="2451"/>
        <w:gridCol w:w="7370"/>
      </w:tblGrid>
      <w:tr w:rsidR="0031651C" w:rsidRPr="00143CB6" w14:paraId="7585DE1D" w14:textId="77777777" w:rsidTr="10215BEE">
        <w:trPr>
          <w:trHeight w:val="409"/>
        </w:trPr>
        <w:tc>
          <w:tcPr>
            <w:tcW w:w="2451" w:type="dxa"/>
          </w:tcPr>
          <w:p w14:paraId="6B4FBAAF"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Confidence</w:t>
            </w:r>
          </w:p>
        </w:tc>
        <w:tc>
          <w:tcPr>
            <w:tcW w:w="7370" w:type="dxa"/>
          </w:tcPr>
          <w:p w14:paraId="6CB9B67F"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Confidence is high for the overall status assessment as most Contracting Parties complete annual stock assessments based on substantial data collection and analyses, and all experts agreed on the current situation (distribution, abundance and condition) for the Atlantic salmon population.</w:t>
            </w:r>
          </w:p>
          <w:p w14:paraId="2B9B07C5"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Confidence is medium to low on threats as many are associated with knowledge gaps (climate change, invasions, small-scale hydropower installations). Also, trends are sometimes difficult to assess within the same OSPAR Regions, where threats might not affect all populations to the same extent.</w:t>
            </w:r>
          </w:p>
        </w:tc>
      </w:tr>
      <w:tr w:rsidR="0031651C" w:rsidRPr="00143CB6" w14:paraId="47A5EE15" w14:textId="77777777" w:rsidTr="10215BEE">
        <w:tc>
          <w:tcPr>
            <w:tcW w:w="2451" w:type="dxa"/>
          </w:tcPr>
          <w:p w14:paraId="2BA6FEAA"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Background Information</w:t>
            </w:r>
          </w:p>
          <w:p w14:paraId="40848A9D"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37C66E1F" w14:textId="2AD93BFD" w:rsidR="0031651C" w:rsidRPr="00143CB6" w:rsidRDefault="0031651C" w:rsidP="0031651C">
            <w:pPr>
              <w:pStyle w:val="ListParagraph"/>
              <w:numPr>
                <w:ilvl w:val="0"/>
                <w:numId w:val="35"/>
              </w:numPr>
              <w:spacing w:after="120" w:line="360" w:lineRule="auto"/>
              <w:ind w:left="62" w:right="742"/>
              <w:jc w:val="left"/>
              <w:rPr>
                <w:rFonts w:asciiTheme="minorHAnsi" w:hAnsiTheme="minorHAnsi" w:cstheme="minorHAnsi"/>
                <w:szCs w:val="22"/>
              </w:rPr>
            </w:pPr>
            <w:r w:rsidRPr="00143CB6">
              <w:rPr>
                <w:rFonts w:asciiTheme="minorHAnsi" w:hAnsiTheme="minorHAnsi" w:cstheme="minorHAnsi"/>
                <w:b/>
                <w:bCs/>
                <w:szCs w:val="22"/>
              </w:rPr>
              <w:t>Year added to OSPAR List</w:t>
            </w:r>
            <w:r w:rsidRPr="00143CB6">
              <w:rPr>
                <w:rFonts w:asciiTheme="minorHAnsi" w:hAnsiTheme="minorHAnsi" w:cstheme="minorHAnsi"/>
                <w:szCs w:val="22"/>
              </w:rPr>
              <w:t xml:space="preserve">: 2003 </w:t>
            </w:r>
            <w:r w:rsidRPr="00143CB6">
              <w:rPr>
                <w:rFonts w:asciiTheme="minorHAnsi" w:hAnsiTheme="minorHAnsi" w:cstheme="minorHAnsi"/>
                <w:szCs w:val="22"/>
              </w:rPr>
              <w:fldChar w:fldCharType="begin"/>
            </w:r>
            <w:r w:rsidRPr="00143CB6">
              <w:rPr>
                <w:rFonts w:asciiTheme="minorHAnsi" w:hAnsiTheme="minorHAnsi" w:cstheme="minorHAnsi"/>
                <w:szCs w:val="22"/>
              </w:rPr>
              <w:instrText xml:space="preserve"> ADDIN ZOTERO_ITEM CSL_CITATION {"citationID":"023JsNxh","properties":{"formattedCitation":"(OSPAR, 2008)","plainCitation":"(OSPAR, 2008)","noteIndex":0},"citationItems":[{"id":18598,"uris":["http://zotero.org/users/1945633/items/HFV3YRR2"],"uri":["http://zotero.org/users/1945633/items/HFV3YRR2"],"itemData":{"id":18598,"type":"chapter","edition":"Biodiversity series","page":"150 pp.","title":"Case reports of the OSPAR List of Threatened and/or Declining Species and Habitats","author":[{"family":"OSPAR","given":""}],"issued":{"date-parts":[["2008"]]}}}],"schema":"https://github.com/citation-style-language/schema/raw/master/csl-citation.json"} </w:instrText>
            </w:r>
            <w:r w:rsidRPr="00143CB6">
              <w:rPr>
                <w:rFonts w:asciiTheme="minorHAnsi" w:hAnsiTheme="minorHAnsi" w:cstheme="minorHAnsi"/>
                <w:szCs w:val="22"/>
              </w:rPr>
              <w:fldChar w:fldCharType="separate"/>
            </w:r>
            <w:r w:rsidRPr="00143CB6">
              <w:rPr>
                <w:rFonts w:asciiTheme="minorHAnsi" w:hAnsiTheme="minorHAnsi" w:cstheme="minorHAnsi"/>
                <w:szCs w:val="22"/>
              </w:rPr>
              <w:t>(OSPAR, 2008)</w:t>
            </w:r>
            <w:r w:rsidRPr="00143CB6">
              <w:rPr>
                <w:rFonts w:asciiTheme="minorHAnsi" w:hAnsiTheme="minorHAnsi" w:cstheme="minorHAnsi"/>
                <w:szCs w:val="22"/>
              </w:rPr>
              <w:fldChar w:fldCharType="end"/>
            </w:r>
            <w:r w:rsidRPr="00143CB6">
              <w:rPr>
                <w:rFonts w:asciiTheme="minorHAnsi" w:hAnsiTheme="minorHAnsi" w:cstheme="minorHAnsi"/>
                <w:szCs w:val="22"/>
              </w:rPr>
              <w:t xml:space="preserve">. The original valuation </w:t>
            </w:r>
            <w:r w:rsidR="00086DFF">
              <w:rPr>
                <w:rFonts w:asciiTheme="minorHAnsi" w:hAnsiTheme="minorHAnsi" w:cstheme="minorHAnsi"/>
                <w:szCs w:val="22"/>
              </w:rPr>
              <w:t>o</w:t>
            </w:r>
            <w:r w:rsidRPr="00143CB6">
              <w:rPr>
                <w:rFonts w:asciiTheme="minorHAnsi" w:hAnsiTheme="minorHAnsi" w:cstheme="minorHAnsi"/>
                <w:szCs w:val="22"/>
              </w:rPr>
              <w:t xml:space="preserve">f Atlantic salmon against the Texel-Faial criteria referred to </w:t>
            </w:r>
            <w:r w:rsidR="00086DFF">
              <w:rPr>
                <w:rFonts w:asciiTheme="minorHAnsi" w:hAnsiTheme="minorHAnsi" w:cstheme="minorHAnsi"/>
                <w:szCs w:val="22"/>
              </w:rPr>
              <w:t>g</w:t>
            </w:r>
            <w:r w:rsidRPr="00143CB6">
              <w:rPr>
                <w:rFonts w:asciiTheme="minorHAnsi" w:hAnsiTheme="minorHAnsi" w:cstheme="minorHAnsi"/>
                <w:szCs w:val="22"/>
              </w:rPr>
              <w:t xml:space="preserve">lobal/regional importance, sensitivity and decline criteria, with </w:t>
            </w:r>
            <w:r w:rsidR="00086DFF">
              <w:rPr>
                <w:rFonts w:asciiTheme="minorHAnsi" w:hAnsiTheme="minorHAnsi" w:cstheme="minorHAnsi"/>
                <w:szCs w:val="22"/>
              </w:rPr>
              <w:t>i</w:t>
            </w:r>
            <w:r w:rsidRPr="00143CB6">
              <w:rPr>
                <w:rFonts w:asciiTheme="minorHAnsi" w:hAnsiTheme="minorHAnsi" w:cstheme="minorHAnsi"/>
                <w:szCs w:val="22"/>
              </w:rPr>
              <w:t>nformation also provided on threats.</w:t>
            </w:r>
          </w:p>
          <w:p w14:paraId="527B60DF" w14:textId="77777777" w:rsidR="0031651C" w:rsidRPr="00143CB6" w:rsidRDefault="0031651C" w:rsidP="00437F65">
            <w:pPr>
              <w:spacing w:after="120"/>
              <w:jc w:val="both"/>
              <w:rPr>
                <w:rFonts w:asciiTheme="minorHAnsi" w:hAnsiTheme="minorHAnsi" w:cstheme="minorHAnsi"/>
                <w:b/>
                <w:bCs/>
                <w:i/>
                <w:iCs/>
                <w:sz w:val="22"/>
                <w:szCs w:val="22"/>
                <w:lang w:val="en-GB"/>
              </w:rPr>
            </w:pPr>
            <w:r w:rsidRPr="00143CB6">
              <w:rPr>
                <w:rFonts w:asciiTheme="minorHAnsi" w:eastAsia="Calibri" w:hAnsiTheme="minorHAnsi" w:cstheme="minorHAnsi"/>
                <w:sz w:val="22"/>
                <w:szCs w:val="22"/>
                <w:lang w:val="en-GB"/>
              </w:rPr>
              <w:t xml:space="preserve">Summary extracted from the Case Report </w:t>
            </w:r>
            <w:r w:rsidRPr="00143CB6">
              <w:rPr>
                <w:rFonts w:asciiTheme="minorHAnsi" w:eastAsia="Calibri" w:hAnsiTheme="minorHAnsi" w:cstheme="minorHAnsi"/>
                <w:sz w:val="22"/>
                <w:szCs w:val="22"/>
                <w:lang w:val="en-GB"/>
              </w:rPr>
              <w:fldChar w:fldCharType="begin"/>
            </w:r>
            <w:r w:rsidRPr="00143CB6">
              <w:rPr>
                <w:rFonts w:asciiTheme="minorHAnsi" w:eastAsia="Calibri" w:hAnsiTheme="minorHAnsi" w:cstheme="minorHAnsi"/>
                <w:sz w:val="22"/>
                <w:szCs w:val="22"/>
                <w:lang w:val="en-GB"/>
              </w:rPr>
              <w:instrText xml:space="preserve"> ADDIN ZOTERO_ITEM CSL_CITATION {"citationID":"0K8qYKgI","properties":{"formattedCitation":"(OSPAR, 2008)","plainCitation":"(OSPAR, 2008)","noteIndex":0},"citationItems":[{"id":18598,"uris":["http://zotero.org/users/1945633/items/HFV3YRR2"],"uri":["http://zotero.org/users/1945633/items/HFV3YRR2"],"itemData":{"id":18598,"type":"chapter","edition":"Biodiversity series","page":"150 pp.","title":"Case reports of the OSPAR List of Threatened and/or Declining Species and Habitats","author":[{"family":"OSPAR","given":""}],"issued":{"date-parts":[["2008"]]}}}],"schema":"https://github.com/citation-style-language/schema/raw/master/csl-citation.json"} </w:instrText>
            </w:r>
            <w:r w:rsidRPr="00143CB6">
              <w:rPr>
                <w:rFonts w:asciiTheme="minorHAnsi" w:eastAsia="Calibri" w:hAnsiTheme="minorHAnsi" w:cstheme="minorHAnsi"/>
                <w:sz w:val="22"/>
                <w:szCs w:val="22"/>
                <w:lang w:val="en-GB"/>
              </w:rPr>
              <w:fldChar w:fldCharType="separate"/>
            </w:r>
            <w:r w:rsidRPr="00143CB6">
              <w:rPr>
                <w:rFonts w:asciiTheme="minorHAnsi" w:hAnsiTheme="minorHAnsi" w:cstheme="minorHAnsi"/>
                <w:sz w:val="22"/>
                <w:szCs w:val="22"/>
                <w:lang w:val="en-GB"/>
              </w:rPr>
              <w:t>(OSPAR, 2008)</w:t>
            </w:r>
            <w:r w:rsidRPr="00143CB6">
              <w:rPr>
                <w:rFonts w:asciiTheme="minorHAnsi" w:eastAsia="Calibri" w:hAnsiTheme="minorHAnsi" w:cstheme="minorHAnsi"/>
                <w:sz w:val="22"/>
                <w:szCs w:val="22"/>
                <w:lang w:val="en-GB"/>
              </w:rPr>
              <w:fldChar w:fldCharType="end"/>
            </w:r>
            <w:r w:rsidRPr="00143CB6">
              <w:rPr>
                <w:rFonts w:asciiTheme="minorHAnsi" w:eastAsia="Calibri" w:hAnsiTheme="minorHAnsi" w:cstheme="minorHAnsi"/>
                <w:sz w:val="22"/>
                <w:szCs w:val="22"/>
                <w:lang w:val="en-GB"/>
              </w:rPr>
              <w:t>:</w:t>
            </w:r>
          </w:p>
          <w:p w14:paraId="62401B09" w14:textId="77777777" w:rsidR="0031651C" w:rsidRPr="00143CB6" w:rsidRDefault="0031651C" w:rsidP="0031651C">
            <w:pPr>
              <w:pStyle w:val="ListParagraph"/>
              <w:numPr>
                <w:ilvl w:val="0"/>
                <w:numId w:val="35"/>
              </w:numPr>
              <w:spacing w:after="120" w:line="360" w:lineRule="auto"/>
              <w:rPr>
                <w:rFonts w:asciiTheme="minorHAnsi" w:hAnsiTheme="minorHAnsi" w:cstheme="minorHAnsi"/>
                <w:b/>
                <w:bCs/>
                <w:i/>
                <w:iCs/>
                <w:szCs w:val="22"/>
              </w:rPr>
            </w:pPr>
            <w:r w:rsidRPr="00143CB6">
              <w:rPr>
                <w:rFonts w:asciiTheme="minorHAnsi" w:hAnsiTheme="minorHAnsi" w:cstheme="minorHAnsi"/>
                <w:b/>
                <w:bCs/>
                <w:szCs w:val="22"/>
              </w:rPr>
              <w:t>“</w:t>
            </w:r>
            <w:r w:rsidRPr="00143CB6">
              <w:rPr>
                <w:rFonts w:asciiTheme="minorHAnsi" w:hAnsiTheme="minorHAnsi" w:cstheme="minorHAnsi"/>
                <w:b/>
                <w:bCs/>
                <w:i/>
                <w:szCs w:val="22"/>
              </w:rPr>
              <w:t xml:space="preserve">Global/regional importance: </w:t>
            </w:r>
            <w:r w:rsidRPr="00143CB6">
              <w:rPr>
                <w:rFonts w:asciiTheme="minorHAnsi" w:hAnsiTheme="minorHAnsi" w:cstheme="minorHAnsi"/>
                <w:i/>
                <w:iCs/>
                <w:szCs w:val="22"/>
              </w:rPr>
              <w:t>Atlantic salmon is present in all OSPAR Regions (I to IV).</w:t>
            </w:r>
          </w:p>
          <w:p w14:paraId="505A01CF" w14:textId="77777777" w:rsidR="0031651C" w:rsidRPr="00143CB6" w:rsidRDefault="0031651C" w:rsidP="0031651C">
            <w:pPr>
              <w:pStyle w:val="ListParagraph"/>
              <w:numPr>
                <w:ilvl w:val="0"/>
                <w:numId w:val="36"/>
              </w:numPr>
              <w:spacing w:after="120" w:line="360" w:lineRule="auto"/>
              <w:rPr>
                <w:rFonts w:asciiTheme="minorHAnsi" w:hAnsiTheme="minorHAnsi" w:cstheme="minorHAnsi"/>
                <w:i/>
                <w:szCs w:val="22"/>
              </w:rPr>
            </w:pPr>
            <w:r w:rsidRPr="00143CB6">
              <w:rPr>
                <w:rFonts w:asciiTheme="minorHAnsi" w:hAnsiTheme="minorHAnsi" w:cstheme="minorHAnsi"/>
                <w:b/>
                <w:i/>
                <w:szCs w:val="22"/>
              </w:rPr>
              <w:t>Sensitivity</w:t>
            </w:r>
            <w:r w:rsidRPr="00143CB6">
              <w:rPr>
                <w:rFonts w:asciiTheme="minorHAnsi" w:hAnsiTheme="minorHAnsi" w:cstheme="minorHAnsi"/>
                <w:i/>
                <w:szCs w:val="22"/>
              </w:rPr>
              <w:t xml:space="preserve">: The species juveniles are particularly sensitive to freshwater quality and accessibility </w:t>
            </w:r>
            <w:r w:rsidRPr="00143CB6">
              <w:rPr>
                <w:rFonts w:asciiTheme="minorHAnsi" w:hAnsiTheme="minorHAnsi" w:cstheme="minorHAnsi"/>
                <w:i/>
                <w:szCs w:val="22"/>
              </w:rPr>
              <w:fldChar w:fldCharType="begin"/>
            </w:r>
            <w:r w:rsidRPr="00143CB6">
              <w:rPr>
                <w:rFonts w:asciiTheme="minorHAnsi" w:hAnsiTheme="minorHAnsi" w:cstheme="minorHAnsi"/>
                <w:i/>
                <w:szCs w:val="22"/>
              </w:rPr>
              <w:instrText xml:space="preserve"> ADDIN ZOTERO_ITEM CSL_CITATION {"citationID":"5p9ipfRC","properties":{"formattedCitation":"(Baglini\\uc0\\u232{}re et al., 2005)","plainCitation":"(Baglinière et al., 2005)","noteIndex":0},"citationItems":[{"id":"HFN45aOe/f40p0UV7","uris":["http://zotero.org/users/local/6PJuduYe/items/S6MU9JVU"],"uri":["http://zotero.org/users/local/6PJuduYe/items/S6MU9JVU"],"itemData":{"id":375,"type":"article-journal","abstract":"Since 1985, the dynamics of the Atlantic salmon (Salmo salar) population in the River Oir, a spawning tributary of the River Sélune (Lower Normandy, France), have been studied from a data set of parr density and the number and the age structure of migrating fish (smolts and adults). Parr densities (1.5–17.4 per 100 m2) and smolt production (0.25–9.2 per 100 m2) varied considerably from year to year. Migrating juveniles were mainly 1 year old. Abundance of parr and smolts was strongly correlated with 0+ densities. Egg-to-smolt survival rates were highly variable year on year (0.044–1.07%). During the juvenile freshwater phase, mortality was highest between the egg and the 0+ stage (97.5–99.9%). The fluctuations in abundance of juvenile salmon appear to be linked to the number and distribution of spawners within the stream during spawning, and also to the amount of silt deposition on the spawning beds. As a result, mortality was highest during the under-gravel phase, and the mean survival rate from egg to smolt was much lower than in rivers less impacted by human activities. Therefore, during the study period, the low production of smolts during some years might lead to a low renewal rate of the salmon population.","container-title":"ICES Journal of Marine Science","DOI":"10.1016/j.icesjms.2005.02.008","ISSN":"1054-3139","issue":"4","journalAbbreviation":"ICES Journal of Marine Science","page":"695-707","source":"Silverchair","title":"Interannual changes in recruitment of the Atlantic salmon (Salmo salar) population in the River Oir (Lower Normandy, France): relationships with spawners and in-stream habitat","title-short":"Interannual changes in recruitment of the Atlantic salmon (Salmo salar) population in the River Oir (Lower Normandy, France)","volume":"62","author":[{"family":"Baglinière","given":"Jean-Luc"},{"family":"Marchand","given":"Frédéric"},{"family":"Vauclin","given":"Vincent"}],"issued":{"date-parts":[["2005",1,1]]}}}],"schema":"https://github.com/citation-style-language/schema/raw/master/csl-citation.json"} </w:instrText>
            </w:r>
            <w:r w:rsidRPr="00143CB6">
              <w:rPr>
                <w:rFonts w:asciiTheme="minorHAnsi" w:hAnsiTheme="minorHAnsi" w:cstheme="minorHAnsi"/>
                <w:i/>
                <w:szCs w:val="22"/>
              </w:rPr>
              <w:fldChar w:fldCharType="separate"/>
            </w:r>
            <w:r w:rsidRPr="00143CB6">
              <w:rPr>
                <w:rFonts w:asciiTheme="minorHAnsi" w:hAnsiTheme="minorHAnsi" w:cstheme="minorHAnsi"/>
                <w:i/>
                <w:szCs w:val="22"/>
              </w:rPr>
              <w:t>(Baglinière et al., 2005)</w:t>
            </w:r>
            <w:r w:rsidRPr="00143CB6">
              <w:rPr>
                <w:rFonts w:asciiTheme="minorHAnsi" w:hAnsiTheme="minorHAnsi" w:cstheme="minorHAnsi"/>
                <w:i/>
                <w:szCs w:val="22"/>
              </w:rPr>
              <w:fldChar w:fldCharType="end"/>
            </w:r>
            <w:r w:rsidRPr="00143CB6">
              <w:rPr>
                <w:rFonts w:asciiTheme="minorHAnsi" w:hAnsiTheme="minorHAnsi" w:cstheme="minorHAnsi"/>
                <w:i/>
                <w:szCs w:val="22"/>
              </w:rPr>
              <w:t>.</w:t>
            </w:r>
          </w:p>
          <w:p w14:paraId="28043E5D" w14:textId="77777777" w:rsidR="0031651C" w:rsidRPr="00143CB6" w:rsidRDefault="0031651C" w:rsidP="0031651C">
            <w:pPr>
              <w:pStyle w:val="ListParagraph"/>
              <w:numPr>
                <w:ilvl w:val="0"/>
                <w:numId w:val="36"/>
              </w:numPr>
              <w:spacing w:after="120" w:line="360" w:lineRule="auto"/>
              <w:rPr>
                <w:rFonts w:asciiTheme="minorHAnsi" w:hAnsiTheme="minorHAnsi" w:cstheme="minorHAnsi"/>
                <w:i/>
                <w:szCs w:val="22"/>
              </w:rPr>
            </w:pPr>
            <w:r w:rsidRPr="00143CB6">
              <w:rPr>
                <w:rFonts w:asciiTheme="minorHAnsi" w:hAnsiTheme="minorHAnsi" w:cstheme="minorHAnsi"/>
                <w:b/>
                <w:i/>
                <w:szCs w:val="22"/>
              </w:rPr>
              <w:t>Decline:</w:t>
            </w:r>
            <w:r w:rsidRPr="00143CB6">
              <w:rPr>
                <w:rFonts w:asciiTheme="minorHAnsi" w:hAnsiTheme="minorHAnsi" w:cstheme="minorHAnsi"/>
                <w:i/>
                <w:szCs w:val="22"/>
              </w:rPr>
              <w:t xml:space="preserve"> The abundance has dramatically declined since the mid-19</w:t>
            </w:r>
            <w:r w:rsidRPr="00143CB6">
              <w:rPr>
                <w:rFonts w:asciiTheme="minorHAnsi" w:hAnsiTheme="minorHAnsi" w:cstheme="minorHAnsi"/>
                <w:i/>
                <w:szCs w:val="22"/>
                <w:vertAlign w:val="superscript"/>
              </w:rPr>
              <w:t>th</w:t>
            </w:r>
            <w:r w:rsidRPr="00143CB6">
              <w:rPr>
                <w:rFonts w:asciiTheme="minorHAnsi" w:hAnsiTheme="minorHAnsi" w:cstheme="minorHAnsi"/>
                <w:i/>
                <w:szCs w:val="22"/>
              </w:rPr>
              <w:t xml:space="preserve"> century especially in Germany, Belgium and the Netherlands where it totally disappeared. The situation in the southern part of Europe is also critical.</w:t>
            </w:r>
          </w:p>
          <w:p w14:paraId="45D9394C" w14:textId="77777777" w:rsidR="0031651C" w:rsidRPr="00143CB6" w:rsidRDefault="0031651C" w:rsidP="0031651C">
            <w:pPr>
              <w:pStyle w:val="ListParagraph"/>
              <w:numPr>
                <w:ilvl w:val="0"/>
                <w:numId w:val="36"/>
              </w:numPr>
              <w:spacing w:after="120" w:line="360" w:lineRule="auto"/>
              <w:rPr>
                <w:rFonts w:asciiTheme="minorHAnsi" w:hAnsiTheme="minorHAnsi" w:cstheme="minorHAnsi"/>
                <w:i/>
                <w:szCs w:val="22"/>
              </w:rPr>
            </w:pPr>
            <w:r w:rsidRPr="00143CB6">
              <w:rPr>
                <w:rFonts w:asciiTheme="minorHAnsi" w:hAnsiTheme="minorHAnsi" w:cstheme="minorHAnsi"/>
                <w:b/>
                <w:bCs/>
                <w:i/>
                <w:szCs w:val="22"/>
              </w:rPr>
              <w:t xml:space="preserve">Threats: </w:t>
            </w:r>
            <w:r w:rsidRPr="00143CB6">
              <w:rPr>
                <w:rFonts w:asciiTheme="minorHAnsi" w:hAnsiTheme="minorHAnsi" w:cstheme="minorHAnsi"/>
                <w:i/>
                <w:iCs/>
                <w:szCs w:val="22"/>
              </w:rPr>
              <w:t>Threats to Atlantic salmon occur in both freshwater and marine environments. Anthropogenic pressures (e.g. agriculture, industry, dams) strongly affect juvenile mortality in fresh water. In the marine environment, the main threats are fisheries (direct and by-catch), interactions with individuals from marine Atlantic salmon farms and climate change.”</w:t>
            </w:r>
          </w:p>
          <w:p w14:paraId="3977E556" w14:textId="77777777" w:rsidR="0031651C" w:rsidRPr="00143CB6" w:rsidRDefault="0031651C" w:rsidP="00437F65">
            <w:pPr>
              <w:spacing w:after="120"/>
              <w:contextualSpacing/>
              <w:jc w:val="both"/>
              <w:rPr>
                <w:rFonts w:asciiTheme="minorHAnsi" w:hAnsiTheme="minorHAnsi" w:cstheme="minorHAnsi"/>
                <w:sz w:val="22"/>
                <w:szCs w:val="22"/>
                <w:lang w:val="en-GB"/>
              </w:rPr>
            </w:pPr>
            <w:r w:rsidRPr="00143CB6">
              <w:rPr>
                <w:rFonts w:asciiTheme="minorHAnsi" w:hAnsiTheme="minorHAnsi" w:cstheme="minorHAnsi"/>
                <w:b/>
                <w:bCs/>
                <w:sz w:val="22"/>
                <w:szCs w:val="22"/>
                <w:lang w:val="en-GB"/>
              </w:rPr>
              <w:t>Last status assessment</w:t>
            </w:r>
            <w:r w:rsidRPr="00143CB6">
              <w:rPr>
                <w:rFonts w:asciiTheme="minorHAnsi" w:hAnsiTheme="minorHAnsi" w:cstheme="minorHAnsi"/>
                <w:sz w:val="22"/>
                <w:szCs w:val="22"/>
                <w:lang w:val="en-GB"/>
              </w:rPr>
              <w:t xml:space="preserve">: 2008. </w:t>
            </w:r>
            <w:hyperlink r:id="rId21" w:history="1">
              <w:r w:rsidRPr="00143CB6">
                <w:rPr>
                  <w:rStyle w:val="Hyperlink"/>
                  <w:rFonts w:asciiTheme="minorHAnsi" w:hAnsiTheme="minorHAnsi" w:cstheme="minorHAnsi"/>
                  <w:sz w:val="22"/>
                  <w:szCs w:val="22"/>
                  <w:lang w:val="en-GB"/>
                </w:rPr>
                <w:t>OSPAR</w:t>
              </w:r>
            </w:hyperlink>
            <w:r w:rsidRPr="00143CB6">
              <w:rPr>
                <w:rFonts w:asciiTheme="minorHAnsi" w:hAnsiTheme="minorHAnsi" w:cstheme="minorHAnsi"/>
                <w:sz w:val="22"/>
                <w:szCs w:val="22"/>
                <w:lang w:val="en-GB"/>
              </w:rPr>
              <w:t xml:space="preserve"> (2010) concluded that Atlantic salmon</w:t>
            </w:r>
            <w:r w:rsidRPr="00143CB6">
              <w:rPr>
                <w:rFonts w:asciiTheme="minorHAnsi" w:hAnsiTheme="minorHAnsi" w:cstheme="minorHAnsi"/>
                <w:i/>
                <w:iCs/>
                <w:sz w:val="22"/>
                <w:szCs w:val="22"/>
                <w:lang w:val="en-GB"/>
              </w:rPr>
              <w:t xml:space="preserve"> </w:t>
            </w:r>
            <w:r w:rsidRPr="00143CB6">
              <w:rPr>
                <w:rFonts w:asciiTheme="minorHAnsi" w:hAnsiTheme="minorHAnsi" w:cstheme="minorHAnsi"/>
                <w:sz w:val="22"/>
                <w:szCs w:val="22"/>
                <w:lang w:val="en-GB"/>
              </w:rPr>
              <w:t>populations are affected by numerous threats both in marine and freshwater ecosystems. Future challenges would be to better understand mortality causes, especially during the marine part of the life cycle.</w:t>
            </w:r>
          </w:p>
        </w:tc>
      </w:tr>
      <w:tr w:rsidR="0031651C" w:rsidRPr="00143CB6" w14:paraId="34DA7B63" w14:textId="77777777" w:rsidTr="10215BEE">
        <w:tc>
          <w:tcPr>
            <w:tcW w:w="2451" w:type="dxa"/>
          </w:tcPr>
          <w:p w14:paraId="43AB6D4D"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Geographical range and distribution</w:t>
            </w:r>
          </w:p>
          <w:p w14:paraId="228CFC5D"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15BA4A03" w14:textId="41EECFD7" w:rsidR="0031651C" w:rsidRPr="00143CB6" w:rsidRDefault="0031651C" w:rsidP="10215BEE">
            <w:pPr>
              <w:spacing w:after="120"/>
              <w:jc w:val="both"/>
              <w:rPr>
                <w:rFonts w:asciiTheme="minorHAnsi" w:hAnsiTheme="minorHAnsi" w:cstheme="minorBidi"/>
                <w:sz w:val="22"/>
                <w:szCs w:val="22"/>
                <w:lang w:val="en-GB"/>
              </w:rPr>
            </w:pPr>
            <w:r w:rsidRPr="10215BEE">
              <w:rPr>
                <w:rFonts w:asciiTheme="minorHAnsi" w:hAnsiTheme="minorHAnsi" w:cstheme="minorBidi"/>
                <w:sz w:val="22"/>
                <w:szCs w:val="22"/>
                <w:lang w:val="en-GB"/>
              </w:rPr>
              <w:t xml:space="preserve">The overall marine distribution of Atlantic salmon populations, originating from European rivers, overlaps to various degrees and extent, in OSPAR regions, from Arctic waters (OSPAR </w:t>
            </w:r>
            <w:r w:rsidR="12EE0F67" w:rsidRPr="10215BEE">
              <w:rPr>
                <w:rFonts w:asciiTheme="minorHAnsi" w:hAnsiTheme="minorHAnsi" w:cstheme="minorBidi"/>
                <w:sz w:val="22"/>
                <w:szCs w:val="22"/>
                <w:lang w:val="en-GB"/>
              </w:rPr>
              <w:t xml:space="preserve">Region </w:t>
            </w:r>
            <w:r w:rsidRPr="10215BEE">
              <w:rPr>
                <w:rFonts w:asciiTheme="minorHAnsi" w:hAnsiTheme="minorHAnsi" w:cstheme="minorBidi"/>
                <w:sz w:val="22"/>
                <w:szCs w:val="22"/>
                <w:lang w:val="en-GB"/>
              </w:rPr>
              <w:t>I, Norwegian Sea) to Atlantic waters of the Iberian Peninsula (OSPAR</w:t>
            </w:r>
            <w:r w:rsidR="7E3CCAD6" w:rsidRPr="10215BEE">
              <w:rPr>
                <w:rFonts w:asciiTheme="minorHAnsi" w:hAnsiTheme="minorHAnsi" w:cstheme="minorBidi"/>
                <w:sz w:val="22"/>
                <w:szCs w:val="22"/>
                <w:lang w:val="en-GB"/>
              </w:rPr>
              <w:t xml:space="preserve"> Region</w:t>
            </w:r>
            <w:r w:rsidRPr="10215BEE">
              <w:rPr>
                <w:rFonts w:asciiTheme="minorHAnsi" w:hAnsiTheme="minorHAnsi" w:cstheme="minorBidi"/>
                <w:sz w:val="22"/>
                <w:szCs w:val="22"/>
                <w:lang w:val="en-GB"/>
              </w:rPr>
              <w:t xml:space="preserve"> IV, Figure 1). Overall, the marine distribution of Atlantic salmon has not changed significantly over the past decade for OSPAR </w:t>
            </w:r>
            <w:r w:rsidR="00B718EC" w:rsidRPr="10215BEE">
              <w:rPr>
                <w:rFonts w:asciiTheme="minorHAnsi" w:hAnsiTheme="minorHAnsi" w:cstheme="minorBidi"/>
                <w:sz w:val="22"/>
                <w:szCs w:val="22"/>
                <w:lang w:val="en-GB"/>
              </w:rPr>
              <w:t>R</w:t>
            </w:r>
            <w:r w:rsidRPr="10215BEE">
              <w:rPr>
                <w:rFonts w:asciiTheme="minorHAnsi" w:hAnsiTheme="minorHAnsi" w:cstheme="minorBidi"/>
                <w:sz w:val="22"/>
                <w:szCs w:val="22"/>
                <w:lang w:val="en-GB"/>
              </w:rPr>
              <w:t>egions I to IV, but several recent studies have suggested that some Atlantic salmon populations</w:t>
            </w:r>
            <w:r w:rsidR="00B718EC" w:rsidRPr="10215BEE">
              <w:rPr>
                <w:rFonts w:asciiTheme="minorHAnsi" w:hAnsiTheme="minorHAnsi" w:cstheme="minorBidi"/>
                <w:sz w:val="22"/>
                <w:szCs w:val="22"/>
                <w:lang w:val="en-GB"/>
              </w:rPr>
              <w:t>,</w:t>
            </w:r>
            <w:r w:rsidRPr="10215BEE">
              <w:rPr>
                <w:rFonts w:asciiTheme="minorHAnsi" w:hAnsiTheme="minorHAnsi" w:cstheme="minorBidi"/>
                <w:sz w:val="22"/>
                <w:szCs w:val="22"/>
                <w:lang w:val="en-GB"/>
              </w:rPr>
              <w:t xml:space="preserve"> </w:t>
            </w:r>
            <w:r w:rsidR="00B718EC" w:rsidRPr="10215BEE">
              <w:rPr>
                <w:rFonts w:asciiTheme="minorHAnsi" w:hAnsiTheme="minorHAnsi" w:cstheme="minorBidi"/>
                <w:sz w:val="22"/>
                <w:szCs w:val="22"/>
                <w:lang w:val="en-GB"/>
              </w:rPr>
              <w:t xml:space="preserve">in </w:t>
            </w:r>
            <w:r w:rsidRPr="10215BEE">
              <w:rPr>
                <w:rFonts w:asciiTheme="minorHAnsi" w:hAnsiTheme="minorHAnsi" w:cstheme="minorBidi"/>
                <w:sz w:val="22"/>
                <w:szCs w:val="22"/>
                <w:lang w:val="en-GB"/>
              </w:rPr>
              <w:t>Norway and Denmark</w:t>
            </w:r>
            <w:r w:rsidR="00B718EC" w:rsidRPr="10215BEE">
              <w:rPr>
                <w:rFonts w:asciiTheme="minorHAnsi" w:hAnsiTheme="minorHAnsi" w:cstheme="minorBidi"/>
                <w:sz w:val="22"/>
                <w:szCs w:val="22"/>
                <w:lang w:val="en-GB"/>
              </w:rPr>
              <w:t>,</w:t>
            </w:r>
            <w:r w:rsidRPr="10215BEE">
              <w:rPr>
                <w:rFonts w:asciiTheme="minorHAnsi" w:hAnsiTheme="minorHAnsi" w:cstheme="minorBidi"/>
                <w:sz w:val="22"/>
                <w:szCs w:val="22"/>
                <w:lang w:val="en-GB"/>
              </w:rPr>
              <w:t xml:space="preserve"> could have extended their migration further north into Arctic waters </w:t>
            </w:r>
            <w:r w:rsidRPr="10215BEE">
              <w:rPr>
                <w:rFonts w:asciiTheme="minorHAnsi" w:hAnsiTheme="minorHAnsi" w:cstheme="minorBidi"/>
                <w:sz w:val="22"/>
                <w:szCs w:val="22"/>
                <w:lang w:val="en-GB"/>
              </w:rPr>
              <w:fldChar w:fldCharType="begin"/>
            </w:r>
            <w:r w:rsidRPr="10215BEE">
              <w:rPr>
                <w:rFonts w:asciiTheme="minorHAnsi" w:hAnsiTheme="minorHAnsi" w:cstheme="minorBidi"/>
                <w:sz w:val="22"/>
                <w:szCs w:val="22"/>
                <w:lang w:val="en-GB"/>
              </w:rPr>
              <w:instrText xml:space="preserve"> ADDIN ZOTERO_ITEM CSL_CITATION {"citationID":"0oSAMkaL","properties":{"formattedCitation":"(Jensen et al., 2014; Rikardsen et al., 2021)","plainCitation":"(Jensen et al., 2014; Rikardsen et al., 2021)","noteIndex":0},"citationItems":[{"id":"HFN45aOe/nSRSiBmv","uris":["http://zotero.org/users/local/6PJuduYe/items/Z8CUQ83S"],"uri":["http://zotero.org/users/local/6PJuduYe/items/Z8CUQ83S"],"itemData":{"id":586,"type":"article-journal","container-title":"Canadian Journal of Fisheries and Aquatic Sciences","DOI":"10.1139/cjfas-2014-0169","ISSN":"0706-652X","issue":"11","journalAbbreviation":"Can. J. Fish. Aquat. Sci.","note":"publisher: NRC Research Press","page":"1740-1746","source":"cdnsciencepub.com (Atypon)","title":"Origin and life history of Atlantic salmon (Salmo salar) near their northernmost oceanic limit","volume":"71","author":[{"family":"Jensen","given":"Arne J."},{"family":"Karlsson","given":"Sten"},{"family":"Fiske","given":"Peder"},{"family":"Hansen","given":"Lars Petter"},{"family":"Østborg","given":"Gunnel M."},{"family":"Hindar","given":"Kjetil"}],"issued":{"date-parts":[["2014",11,1]]}}},{"id":"HFN45aOe/M9MGJKrO","uris":["http://zotero.org/users/local/6PJuduYe/items/5HKWJLWS"],"uri":["http://zotero.org/users/local/6PJuduYe/items/5HKWJLWS"],"itemData":{"id":216,"type":"article-journal","abstract":"Determining the mechanisms driving range-wide reductions in Atlantic salmon marine survival is hindered by an insufficient understanding of their oceanic ecology and distribution. We attached 204 pop-up satellite archival tags to post-spawned salmon when they migrated to the ocean from seven European areas and maiden North American salmon captured at sea at West Greenland. Individuals migrated further north and east than previously reported and displayed increased diving activity near oceanographic fronts, emphasizing the importance of these regions as feeding areas. The oceanic distribution differed among individuals and populations, but overlapped more between geographically proximate than distant populations. Dissimilarities in distribution likely contribute to variation in growth and survival within and among populations due to spatio-temporal differences in environmental conditions. Climate-induced changes in oceanographic conditions will alter the location of frontal areas and may have stock-specific effects on Atlantic salmon population dynamics, likely having the largest impacts on southern populations.","container-title":"Scientific Reports","DOI":"10.1038/s41598-021-91137-y","ISSN":"2045-2322","issue":"1","journalAbbreviation":"Sci Rep","language":"en","note":"Bandiera_abtest: a\nCc_license_type: cc_by\nCg_type: Nature Research Journals\nnumber: 1\nPrimary_atype: Research\npublisher: Nature Publishing Group\nSubject_term: Ecology;Environmental sciences;Ocean sciences\nSubject_term_id: ecology;environmental-sciences;ocean-sciences","page":"12266","source":"www.nature.com","title":"Redefining the oceanic distribution of Atlantic salmon","volume":"11","author":[{"family":"Rikardsen","given":"Audun H."},{"family":"Righton","given":"David"},{"family":"Strøm","given":"John Fredrik"},{"family":"Thorstad","given":"Eva B."},{"family":"Gargan","given":"Patrick"},{"family":"Sheehan","given":"Timothy"},{"family":"Økland","given":"Finn"},{"family":"Chittenden","given":"Cedar M."},{"family":"Hedger","given":"Richard D."},{"family":"Næsje","given":"Tor F."},{"family":"Renkawitz","given":"Mark"},{"family":"Sturlaugsson","given":"Johannes"},{"family":"Caballero","given":"Pablo"},{"family":"Baktoft","given":"Henrik"},{"family":"Davidsen","given":"Jan G."},{"family":"Halttunen","given":"Elina"},{"family":"Wright","given":"Serena"},{"family":"Finstad","given":"Bengt"},{"family":"Aarestrup","given":"Kim"}],"issued":{"date-parts":[["2021",6,10]]}}}],"schema":"https://github.com/citation-style-language/schema/raw/master/csl-citation.json"} </w:instrText>
            </w:r>
            <w:r w:rsidRPr="10215BEE">
              <w:rPr>
                <w:rFonts w:asciiTheme="minorHAnsi" w:hAnsiTheme="minorHAnsi" w:cstheme="minorBidi"/>
                <w:sz w:val="22"/>
                <w:szCs w:val="22"/>
                <w:lang w:val="en-GB"/>
              </w:rPr>
              <w:fldChar w:fldCharType="separate"/>
            </w:r>
            <w:r w:rsidRPr="10215BEE">
              <w:rPr>
                <w:rFonts w:asciiTheme="minorHAnsi" w:hAnsiTheme="minorHAnsi" w:cstheme="minorBidi"/>
                <w:sz w:val="22"/>
                <w:szCs w:val="22"/>
                <w:lang w:val="en-GB"/>
              </w:rPr>
              <w:t xml:space="preserve">(Jensen </w:t>
            </w:r>
            <w:r w:rsidRPr="10215BEE">
              <w:rPr>
                <w:rFonts w:asciiTheme="minorHAnsi" w:hAnsiTheme="minorHAnsi" w:cstheme="minorBidi"/>
                <w:i/>
                <w:iCs/>
                <w:sz w:val="22"/>
                <w:szCs w:val="22"/>
                <w:lang w:val="en-GB"/>
              </w:rPr>
              <w:t>et al.</w:t>
            </w:r>
            <w:r w:rsidRPr="10215BEE">
              <w:rPr>
                <w:rFonts w:asciiTheme="minorHAnsi" w:hAnsiTheme="minorHAnsi" w:cstheme="minorBidi"/>
                <w:sz w:val="22"/>
                <w:szCs w:val="22"/>
                <w:lang w:val="en-GB"/>
              </w:rPr>
              <w:t xml:space="preserve">, 2014; Rikardsen </w:t>
            </w:r>
            <w:r w:rsidRPr="10215BEE">
              <w:rPr>
                <w:rFonts w:asciiTheme="minorHAnsi" w:hAnsiTheme="minorHAnsi" w:cstheme="minorBidi"/>
                <w:i/>
                <w:iCs/>
                <w:sz w:val="22"/>
                <w:szCs w:val="22"/>
                <w:lang w:val="en-GB"/>
              </w:rPr>
              <w:t>et al.</w:t>
            </w:r>
            <w:r w:rsidRPr="10215BEE">
              <w:rPr>
                <w:rFonts w:asciiTheme="minorHAnsi" w:hAnsiTheme="minorHAnsi" w:cstheme="minorBidi"/>
                <w:sz w:val="22"/>
                <w:szCs w:val="22"/>
                <w:lang w:val="en-GB"/>
              </w:rPr>
              <w:t>, 2021)</w:t>
            </w:r>
            <w:r w:rsidRPr="10215BEE">
              <w:rPr>
                <w:rFonts w:asciiTheme="minorHAnsi" w:hAnsiTheme="minorHAnsi" w:cstheme="minorBidi"/>
                <w:sz w:val="22"/>
                <w:szCs w:val="22"/>
                <w:lang w:val="en-GB"/>
              </w:rPr>
              <w:fldChar w:fldCharType="end"/>
            </w:r>
            <w:r w:rsidRPr="10215BEE">
              <w:rPr>
                <w:rFonts w:asciiTheme="minorHAnsi" w:hAnsiTheme="minorHAnsi" w:cstheme="minorBidi"/>
                <w:sz w:val="22"/>
                <w:szCs w:val="22"/>
                <w:lang w:val="en-GB"/>
              </w:rPr>
              <w:t>.</w:t>
            </w:r>
          </w:p>
          <w:p w14:paraId="26B620D8" w14:textId="77777777" w:rsidR="0031651C" w:rsidRPr="00143CB6" w:rsidRDefault="0031651C" w:rsidP="00437F65">
            <w:pPr>
              <w:keepNext/>
              <w:rPr>
                <w:rFonts w:asciiTheme="minorHAnsi" w:hAnsiTheme="minorHAnsi" w:cstheme="minorHAnsi"/>
                <w:sz w:val="22"/>
                <w:szCs w:val="22"/>
                <w:lang w:val="en-GB"/>
              </w:rPr>
            </w:pPr>
            <w:r w:rsidRPr="00143CB6">
              <w:rPr>
                <w:rFonts w:asciiTheme="minorHAnsi" w:hAnsiTheme="minorHAnsi" w:cstheme="minorHAnsi"/>
                <w:noProof/>
                <w:sz w:val="22"/>
                <w:szCs w:val="22"/>
                <w:lang w:val="en-GB"/>
              </w:rPr>
              <w:drawing>
                <wp:inline distT="0" distB="0" distL="0" distR="0" wp14:anchorId="6E10426A" wp14:editId="00D0CAA8">
                  <wp:extent cx="4542790" cy="338074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2790" cy="3380740"/>
                          </a:xfrm>
                          <a:prstGeom prst="rect">
                            <a:avLst/>
                          </a:prstGeom>
                        </pic:spPr>
                      </pic:pic>
                    </a:graphicData>
                  </a:graphic>
                </wp:inline>
              </w:drawing>
            </w:r>
          </w:p>
          <w:p w14:paraId="3416CA72" w14:textId="77777777" w:rsidR="0031651C" w:rsidRPr="00143CB6" w:rsidRDefault="0031651C" w:rsidP="00437F65">
            <w:pPr>
              <w:pStyle w:val="Caption"/>
              <w:rPr>
                <w:rFonts w:cstheme="minorHAnsi"/>
                <w:sz w:val="22"/>
                <w:szCs w:val="22"/>
                <w:lang w:val="en-GB"/>
              </w:rPr>
            </w:pPr>
            <w:r w:rsidRPr="00143CB6">
              <w:rPr>
                <w:rFonts w:cstheme="minorHAnsi"/>
                <w:sz w:val="22"/>
                <w:szCs w:val="22"/>
                <w:lang w:val="en-GB"/>
              </w:rPr>
              <w:t xml:space="preserve">Figure 1 The North Atlantic with the geographic distribution of Atlantic salmon indicated in light red </w:t>
            </w:r>
            <w:r w:rsidRPr="00143CB6">
              <w:rPr>
                <w:rFonts w:cstheme="minorHAnsi"/>
                <w:sz w:val="22"/>
                <w:szCs w:val="22"/>
                <w:lang w:val="en-GB"/>
              </w:rPr>
              <w:fldChar w:fldCharType="begin"/>
            </w:r>
            <w:r w:rsidRPr="00143CB6">
              <w:rPr>
                <w:rFonts w:cstheme="minorHAnsi"/>
                <w:sz w:val="22"/>
                <w:szCs w:val="22"/>
                <w:lang w:val="en-GB"/>
              </w:rPr>
              <w:instrText xml:space="preserve"> ADDIN ZOTERO_ITEM CSL_CITATION {"citationID":"FHSBbdB5","properties":{"formattedCitation":"(Maoil\\uc0\\u233{}idigh, 2018)","plainCitation":"(Maoiléidigh, 2018)","noteIndex":0},"citationItems":[{"id":"HFN45aOe/fn1p9dq7","uris":["http://zotero.org/users/local/6PJuduYe/items/IVUZY2I3"],"uri":["http://zotero.org/users/local/6PJuduYe/items/IVUZY2I3"],"itemData":{"id":408,"type":"book","ISBN":"978-87-7482-219-6","language":"English","note":"OCLC: 1224449839","publisher":"International Council for the Exploration of the Sea","source":"Open WorldCat","title":"Fifty years of marine tag recoveries from Atlantic salmon","author":[{"family":"Maoiléidigh","given":"Niall Ó"}],"issued":{"date-parts":[["2018"]]}}}],"schema":"https://github.com/citation-style-language/schema/raw/master/csl-citation.json"} </w:instrText>
            </w:r>
            <w:r w:rsidRPr="00143CB6">
              <w:rPr>
                <w:rFonts w:cstheme="minorHAnsi"/>
                <w:sz w:val="22"/>
                <w:szCs w:val="22"/>
                <w:lang w:val="en-GB"/>
              </w:rPr>
              <w:fldChar w:fldCharType="separate"/>
            </w:r>
            <w:r w:rsidRPr="00143CB6">
              <w:rPr>
                <w:rFonts w:cstheme="minorHAnsi"/>
                <w:sz w:val="22"/>
                <w:szCs w:val="22"/>
                <w:lang w:val="en-GB"/>
              </w:rPr>
              <w:t>(Maoiléidigh, 2018)</w:t>
            </w:r>
            <w:r w:rsidRPr="00143CB6">
              <w:rPr>
                <w:rFonts w:cstheme="minorHAnsi"/>
                <w:sz w:val="22"/>
                <w:szCs w:val="22"/>
                <w:lang w:val="en-GB"/>
              </w:rPr>
              <w:fldChar w:fldCharType="end"/>
            </w:r>
          </w:p>
          <w:p w14:paraId="6961584B" w14:textId="77777777" w:rsidR="0031651C" w:rsidRPr="00143CB6" w:rsidRDefault="0031651C" w:rsidP="00437F65">
            <w:pPr>
              <w:spacing w:after="120"/>
              <w:jc w:val="both"/>
              <w:rPr>
                <w:rFonts w:asciiTheme="minorHAnsi" w:hAnsiTheme="minorHAnsi" w:cstheme="minorHAnsi"/>
                <w:sz w:val="22"/>
                <w:szCs w:val="22"/>
                <w:lang w:val="en-GB"/>
              </w:rPr>
            </w:pPr>
          </w:p>
          <w:p w14:paraId="56853021" w14:textId="77777777" w:rsidR="0031651C" w:rsidRPr="00143CB6" w:rsidRDefault="0031651C" w:rsidP="00437F65">
            <w:pPr>
              <w:keepNext/>
              <w:spacing w:after="120"/>
              <w:jc w:val="both"/>
              <w:rPr>
                <w:rFonts w:asciiTheme="minorHAnsi" w:hAnsiTheme="minorHAnsi" w:cstheme="minorHAnsi"/>
                <w:sz w:val="22"/>
                <w:szCs w:val="22"/>
                <w:lang w:val="en-GB"/>
              </w:rPr>
            </w:pPr>
            <w:r w:rsidRPr="00143CB6">
              <w:rPr>
                <w:rFonts w:asciiTheme="minorHAnsi" w:hAnsiTheme="minorHAnsi" w:cstheme="minorHAnsi"/>
                <w:noProof/>
                <w:sz w:val="22"/>
                <w:szCs w:val="22"/>
                <w:lang w:val="en-GB"/>
              </w:rPr>
              <w:drawing>
                <wp:inline distT="0" distB="0" distL="0" distR="0" wp14:anchorId="64FB431B" wp14:editId="164A45DE">
                  <wp:extent cx="4448175" cy="5837056"/>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istri_rive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58788" cy="5850982"/>
                          </a:xfrm>
                          <a:prstGeom prst="rect">
                            <a:avLst/>
                          </a:prstGeom>
                        </pic:spPr>
                      </pic:pic>
                    </a:graphicData>
                  </a:graphic>
                </wp:inline>
              </w:drawing>
            </w:r>
          </w:p>
          <w:p w14:paraId="4E9437A1" w14:textId="77777777" w:rsidR="0031651C" w:rsidRPr="00143CB6" w:rsidRDefault="0031651C" w:rsidP="00437F65">
            <w:pPr>
              <w:pStyle w:val="Caption"/>
              <w:rPr>
                <w:rFonts w:cstheme="minorHAnsi"/>
                <w:sz w:val="22"/>
                <w:szCs w:val="22"/>
                <w:lang w:val="en-GB"/>
              </w:rPr>
            </w:pPr>
            <w:r w:rsidRPr="00143CB6">
              <w:rPr>
                <w:rFonts w:cstheme="minorHAnsi"/>
                <w:sz w:val="22"/>
                <w:szCs w:val="22"/>
                <w:lang w:val="en-GB"/>
              </w:rPr>
              <w:t xml:space="preserve">Figure 2: NASCO risk categorization of Atlantic salmon stocks across European rivers, adapted from </w:t>
            </w:r>
            <w:r w:rsidRPr="00143CB6">
              <w:rPr>
                <w:rFonts w:cstheme="minorHAnsi"/>
                <w:sz w:val="22"/>
                <w:szCs w:val="22"/>
                <w:lang w:val="en-GB"/>
              </w:rPr>
              <w:fldChar w:fldCharType="begin"/>
            </w:r>
            <w:r w:rsidRPr="00143CB6">
              <w:rPr>
                <w:rFonts w:cstheme="minorHAnsi"/>
                <w:sz w:val="22"/>
                <w:szCs w:val="22"/>
                <w:lang w:val="en-GB"/>
              </w:rPr>
              <w:instrText xml:space="preserve"> ADDIN ZOTERO_ITEM CSL_CITATION {"citationID":"SpmEVUBe","properties":{"formattedCitation":"(NASCO, 2020b)","plainCitation":"(NASCO, 2020b)","noteIndex":0},"citationItems":[{"id":"HFN45aOe/Y4EEDNKv","uris":["http://zotero.org/users/local/6PJuduYe/items/UXWH72JH"],"uri":["http://zotero.org/users/local/6PJuduYe/items/UXWH72JH"],"itemData":{"id":444,"type":"article","title":"State of North Atlantic Salmon","author":[{"family":"NASCO","given":""}],"issued":{"date-parts":[["2020"]]}}}],"schema":"https://github.com/citation-style-language/schema/raw/master/csl-citation.json"} </w:instrText>
            </w:r>
            <w:r w:rsidRPr="00143CB6">
              <w:rPr>
                <w:rFonts w:cstheme="minorHAnsi"/>
                <w:sz w:val="22"/>
                <w:szCs w:val="22"/>
                <w:lang w:val="en-GB"/>
              </w:rPr>
              <w:fldChar w:fldCharType="separate"/>
            </w:r>
            <w:r w:rsidRPr="00143CB6">
              <w:rPr>
                <w:rFonts w:cstheme="minorHAnsi"/>
                <w:sz w:val="22"/>
                <w:szCs w:val="22"/>
                <w:lang w:val="en-GB"/>
              </w:rPr>
              <w:t>(NASCO, 2020b)</w:t>
            </w:r>
            <w:r w:rsidRPr="00143CB6">
              <w:rPr>
                <w:rFonts w:cstheme="minorHAnsi"/>
                <w:sz w:val="22"/>
                <w:szCs w:val="22"/>
                <w:lang w:val="en-GB"/>
              </w:rPr>
              <w:fldChar w:fldCharType="end"/>
            </w:r>
            <w:r w:rsidRPr="00143CB6">
              <w:rPr>
                <w:rFonts w:cstheme="minorHAnsi"/>
                <w:sz w:val="22"/>
                <w:szCs w:val="22"/>
                <w:lang w:val="en-GB"/>
              </w:rPr>
              <w:t>. The categories (i.e. colours) used here are those selected by NASCO and do not always translate to stock state categories used by the nations/jurisdictions.</w:t>
            </w:r>
          </w:p>
          <w:p w14:paraId="27270CEE" w14:textId="77777777" w:rsidR="0031651C" w:rsidRPr="00143CB6" w:rsidRDefault="0031651C" w:rsidP="00437F65">
            <w:pPr>
              <w:rPr>
                <w:rFonts w:asciiTheme="minorHAnsi" w:hAnsiTheme="minorHAnsi" w:cstheme="minorHAnsi"/>
                <w:sz w:val="22"/>
                <w:szCs w:val="22"/>
                <w:lang w:val="en-GB"/>
              </w:rPr>
            </w:pPr>
          </w:p>
          <w:p w14:paraId="2027E074" w14:textId="6315B04A" w:rsidR="0031651C" w:rsidRPr="00143CB6" w:rsidRDefault="0031651C" w:rsidP="00437F65">
            <w:pPr>
              <w:rPr>
                <w:rFonts w:asciiTheme="minorHAnsi" w:eastAsia="Calibri" w:hAnsiTheme="minorHAnsi" w:cstheme="minorHAnsi"/>
                <w:sz w:val="22"/>
                <w:szCs w:val="22"/>
                <w:lang w:val="en-GB"/>
              </w:rPr>
            </w:pPr>
            <w:r w:rsidRPr="00143CB6">
              <w:rPr>
                <w:rFonts w:asciiTheme="minorHAnsi" w:hAnsiTheme="minorHAnsi" w:cstheme="minorHAnsi"/>
                <w:sz w:val="22"/>
                <w:szCs w:val="22"/>
                <w:lang w:val="en-GB"/>
              </w:rPr>
              <w:t xml:space="preserve">Regarding freshwater distribution, there is still a lack of data to map the precise distribution within river basins where reproduction of Atlantic salmon occurs. Nonetheless, Norway still holds approximately 25% of extant Atlantic salmon populations in more than 400 watercourses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{"citationID":"7dJT2L6E","properties":{"formattedCitation":"(Forseth et al., 2017)","plainCitation":"(Forseth et al., 2017)","noteIndex":0},"citationItems":[{"id":"HFN45aOe/rHD6N2eu","uris":["http://zotero.org/users/local/6PJuduYe/items/V85634B5"],"uri":["http://zotero.org/users/local/6PJuduYe/items/V85634B5"],"itemData":{"id":219,"type":"article-journal","abstract":"Atlantic salmon (Salmo salar) is an economically and culturally important species. Norway has more than 400 watercourses with Atlantic salmon and supports a large proportion of the world’s wild Atlantic salmon. Atlantic salmon are structured into numerous genetically differentiated populations, and are therefore managed at the population level. Long-distance migrations between freshwater and ocean habitats expose Atlantic salmon to multiple threats, and a number of anthropogenic factors have contributed to the decline of Atlantic salmon during the last decades. Knowledge on the relative importance of the different anthropogenic factors is vital for prioritizing management measures. We developed a semi-quantitative 2D classification system to rank the different anthropogenic factors and used this to assess the major threats to Norwegian Atlantic salmon. Escaped farmed salmon and salmon lice from fish farms were identified as expanding population threats, with escaped farmed salmon being the largest current threat. These two factors affect populations to the extent that they may be critically endangered or lost, with a large likelihood of causing further reductions and losses in the future. The introduced parasite Gyrodactylus salaris, freshwater acidification, hydropower regulation and other habitat alterations were identified as stabilized population threats, which have contributed to populations becoming critically endangered or lost, but with a low likelihood of causing further loss. Other impacts were identified as less influential, either as stabilized or expanding factors that cause loss in terms of number of returning adults, but not to the extent that populations become threatened. Management based on population specific reference points (conservation limits) has reduced exploitation in Norway, and overexploitation was therefore no longer regarded an important impact factor. The classification system may be used as a template for ranking of anthropogenic impact factors in other countries and as a support for national and international conservation efforts.","container-title":"ICES Journal of Marine Science","DOI":"10.1093/icesjms/fsx020","ISSN":"1054-3139","issue":"6","journalAbbreviation":"ICES Journal of Marine Science","page":"1496-1513","source":"Silverchair","title":"The major threats to Atlantic salmon in Norway","volume":"74","author":[{"family":"Forseth","given":"Torbjørn"},{"family":"Barlaup","given":"Bjørn T."},{"family":"Finstad","given":"Bengt"},{"family":"Fiske","given":"Peder"},{"family":"Gjøsæter","given":"Harald"},{"family":"Falkegård","given":"Morten"},{"family":"Hindar","given":"Atle"},{"family":"Mo","given":"Tor Atle"},{"family":"Rikardsen","given":"Audun H."},{"family":"Thorstad","given":"Eva B."},{"family":"Vøllestad","given":"Leif Asbjørn"},{"family":"Wennevik","given":"Vidar"}],"issued":{"date-parts":[["2017",7,1]]}}}],"schema":"https://github.com/citation-style-language/schema/raw/master/csl-citation.json"}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(Forseth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2017)</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During the past decades, improvements in habitat quality and quantity in European rivers have facilitated the return or the spread of Atlantic salmon populations. This is the case in France in the river Seine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{"citationID":"IkYKvyTZ","properties":{"formattedCitation":"(Perrier et al., 2010)","plainCitation":"(Perrier et al., 2010)","noteIndex":0},"citationItems":[{"id":"HFN45aOe/WgkbhoyA","uris":["http://zotero.org/users/local/6PJuduYe/items/5UEPLWF2"],"uri":["http://zotero.org/users/local/6PJuduYe/items/5UEPLWF2"],"itemData":{"id":413,"type":"article-journal","container-title":"Canadian Journal of Fisheries and Aquatic Sciences","DOI":"10.1139/F09-190","ISSN":"0706-652X","issue":"1","journalAbbreviation":"Can. J. Fish. Aquat. Sci.","note":"publisher: NRC Research Press","page":"1-4","source":"cdnsciencepub.com (Atypon)","title":"Natural recolonization of the Seine River by Atlantic salmon (Salmo salar) of multiple origins","volume":"67","author":[{"family":"Perrier","given":"Charles"},{"family":"Evanno","given":"Guillaume"},{"family":"Belliard","given":"Jérôme"},{"family":"Guyomard","given":"René"},{"family":"Baglinière","given":"Jean-Luc"}],"issued":{"date-parts":[["2010",1,1]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(Perrier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2010)</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and the Adour-Gaves basin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{"citationID":"Uz1IwJSz","properties":{"formattedCitation":"(Prouzet &amp; Michelet, 2019)","plainCitation":"(Prouzet &amp; Michelet, 2019)","noteIndex":0},"citationItems":[{"id":"HFN45aOe/1RVL2Iqw","uris":["http://zotero.org/users/local/6PJuduYe/items/VGPF4H3X"],"uri":["http://zotero.org/users/local/6PJuduYe/items/VGPF4H3X"],"itemData":{"id":378,"type":"paper-conference","abstract":"Atlantic salmon (Salmo salar L.) is, in France, a totemic species and a symbol of the quality of aquatic environment. Formerly, very abundant in numerous river basins entering the Channel or the Atlantic coast, this species, unfortunately, is declining since the beginning of the 20th century and particularly after the end of the 2nd World War. Presently, this anadromous fish migrates on 40 river systems located between the Belgium border and the Spanish one. Salmon is mainly exploited by rod anglers but there still exists a professional fishery in the Adour-Gaves basin (located in the South-West part of France) where salmon catches are allowed with drift net. In all other estuaries and coastal waters where they are not prohibited, salmon catches by (professional) fishermen remain incidental and very few. Commercial salmon fishing, whether targeted or accidental, is strictly regulated in France, including a fishing licensing regime specific to diadromous fish species.” The total catch is currently estimated to 10 metric tons around 3000 fish. The decline of Atlantic salmon in France is due to multiple anthropogenic pressures that have affected the size and the quality of its freshwater habitat during the 20th century such as: edification of dams on a great number of rivers for energy production or for agricultural and domestic purposes; increase of the water pollution with a degradation of the quality of the spawning areas; impediments to free migration due to an insufficient number of fish ladders or non effective fishways that prevent salmon to reach safely and rapidly their spawning areas. The final result is a large decrease of productivity of salmon stocks in most part of French salmon rivers and some difficulties to maintain a professional or leisure exploitation. Despite the ban of salmon catch in large river systems such as the Loire, Gironde, Seine, Garonne, Dordogne basins and the drastic decrease of the number of salmon fishers (presently less than 3000 for anglers and less than 30 for professional fishers), managers have some great difficulties to rebuild the population. Most of restoration programs failed due to a too fragmented approach without a global view of salmon needs; fishing regulations without improvement of salmon environment have limited effects on the stock restoration if the main cause of decline is the decrease of the quality of salmon habitat. So, the future of Atlantic salmon in France lies in the implementation of an ecosystemic approach in order to have perennial and significant effects on the abundance of this population. The examples of restoration programs undertaken in the Adour-Gaves basin or in small river systems such as the Elorn river in Brittany confirm the need for management plans including not only fishing regulations but also improvement of salmon environment. On the Adour-Gaves river system for example, a restoration program including regulation of fishery, improvement of the free migration of individuals for a better access to the best spawning areas located in the upper course of the salmon tributaries, has given significant results on the stock abundance and on the percentage of large spawners in the population.","container-title":"Oceanography Challenges to Future Earth","DOI":"10.1007/978-3-030-00138-4_20","event-place":"Cham","ISBN":"978-3-030-00138-4","language":"en","page":"249-276","publisher":"Springer International Publishing","publisher-place":"Cham","source":"Springer Link","title":"Ecological Status of Atlantic Salmon (Salmo Salar L.) in France: Need for an Ecosystemic Approach","title-short":"Ecological Status of Atlantic Salmon (Salmo Salar L.) in France","author":[{"family":"Prouzet","given":"Patrick"},{"family":"Michelet","given":"Nicolas"}],"editor":[{"family":"Komatsu","given":"Teruhisa"},{"family":"Ceccaldi","given":"Hubert-Jean"},{"family":"Yoshida","given":"Jiro"},{"family":"Prouzet","given":"Patrick"},{"family":"Henocque","given":"Yves"}],"issued":{"date-parts":[["2019"]]}}}],"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(Prouzet &amp; Michelet, 2019)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In Scotland, the removal of barriers has helped to increase available juvenile habitat and production (92/43/EEC Scotland report 2019;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{"citationID":"5FZwVR7u","properties":{"formattedCitation":"(Buddendorf et al., 2019a; Malcolm et al., 2019a)","plainCitation":"(Buddendorf et al., 2019a; Malcolm et al., 2019a)","noteIndex":0},"citationItems":[{"id":18679,"uris":["http://zotero.org/users/1945633/items/LE33IY64"],"uri":["http://zotero.org/users/1945633/items/LE33IY64"],"itemData":{"id":18679,"type":"article-journal","container-title":"Science of The Total Environment","DOI":"10.1016/j.scitotenv.2018.11.263","ISSN":"00489697","journalAbbreviation":"Science of The Total Environment","language":"en","page":"557-566","source":"DOI.org (Crossref)","title":"Integration of juvenile habitat quality and river connectivity models to understand and prioritise the management of barriers for Atlantic salmon populations across spatial scales","volume":"655","author":[{"family":"Buddendorf","given":"Willem B."},{"family":"Jackson","given":"Faye L."},{"family":"Malcolm","given":"Iain A."},{"family":"Millidine","given":"Karen J."},{"family":"Geris","given":"Josie"},{"family":"Wilkinson","given":"Mark E."},{"family":"Soulsby","given":"Chris"}],"issued":{"date-parts":[["2019",3]]}},"label":"page"},{"id":18681,"uris":["http://zotero.org/users/1945633/items/MKS4C4B7"],"uri":["http://zotero.org/users/1945633/items/MKS4C4B7"],"itemData":{"id":18681,"type":"article-journal","container-title":"Ecological Indicators","DOI":"10.1016/j.ecolind.2018.09.005","ISSN":"1470160X","journalAbbreviation":"Ecological Indicators","language":"en","page":"303-316","source":"DOI.org (Crossref)","title":"Development of a large-scale juvenile density model to inform the assessment and management of Atlantic salmon (Salmo salar) populations in Scotland","volume":"96","author":[{"family":"Malcolm","given":"Iain A."},{"family":"Millidine","given":"Karen J."},{"family":"Glover","given":"Ross S."},{"family":"Jackson","given":"Faye L."},{"family":"Millar","given":"Colin P."},{"family":"Fryer","given":"Robert J."}],"issued":{"date-parts":[["2019",1]]}},"label":"page"}],"schema":"https://github.com/citation-style-language/schema/raw/master/csl-citation.json"}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(Buddendorf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2019; Malcolm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w:t>
            </w:r>
            <w:r w:rsidRPr="00143CB6">
              <w:rPr>
                <w:rFonts w:asciiTheme="minorHAnsi" w:eastAsia="Calibri" w:hAnsiTheme="minorHAnsi" w:cstheme="minorHAnsi"/>
                <w:sz w:val="22"/>
                <w:szCs w:val="22"/>
                <w:lang w:val="en-GB"/>
              </w:rPr>
              <w:t xml:space="preserve">In Wales, there has also been considerable investments into removing barriers to migration (Salmon for Tomorrow Programme). </w:t>
            </w:r>
            <w:r w:rsidRPr="00143CB6">
              <w:rPr>
                <w:rFonts w:asciiTheme="minorHAnsi" w:hAnsiTheme="minorHAnsi" w:cstheme="minorHAnsi"/>
                <w:sz w:val="22"/>
                <w:szCs w:val="22"/>
                <w:lang w:val="en-GB"/>
              </w:rPr>
              <w:t xml:space="preserve">In Germany, several restocking programs have been active the past decades with various successes and failures notably in the Rhine basin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{"citationID":"6XIEsZCU","properties":{"formattedCitation":"(Monnerjahn, 2011)","plainCitation":"(Monnerjahn, 2011)","noteIndex":0},"citationItems":[{"id":"HFN45aOe/wMqYlvqb","uris":["http://zotero.org/users/local/6PJuduYe/items/WTBGJQTL"],"uri":["http://zotero.org/users/local/6PJuduYe/items/WTBGJQTL"],"itemData":{"id":441,"type":"article-journal","abstract":"Atlantic Salmon (Salmo salar) once was a common fish in German rivers. In the course of the industrial revolution the water quality decreased, the rivers were straightened and gradually fragmented by weirs and dams. As a consequence the salmon populations drastically decreased and finally became extinct by the middle of the last century. About 20 years later, in 1978, the first salmon was released in an attempt to re-establish this valuable species. Today re-introduction programmes are running at all former important salmon rivers, namely at the rivers Rhine, Ems, Weser, Elbe as well as some smaller rivers. This contribution provides a short overview on the status of these re-introductions, the success stories as well as the drawbacks of salmon re-introduction in German rivers.","container-title":"Journal of Applied Ichthyology","DOI":"10.1111/j.1439-0426.2011.01849.x","ISSN":"1439-0426","issue":"s3","language":"en","note":"_eprint: https://onlinelibrary.wiley.com/doi/pdf/10.1111/j.1439-0426.2011.01849.x","page":"33-40","source":"Wiley Online Library","title":"Atlantic Salmon (Salmo salar L.) re-introduction in Germany: a status report on national programmes and activities","title-short":"Atlantic Salmon (Salmo salar L.) re-introduction in Germany","volume":"27","author":[{"family":"Monnerjahn","given":"U."}],"issued":{"date-parts":[["2011"]]}}}],"schema":"https://github.com/citation-style-language/schema/raw/master/csl-citation.json"}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(Monnerjahn, 2011)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In 2018 and 2019, restocking actions were implemented in Minho River (Portugal) with fish from Galicia; there are currently no results for their success or failure (Project Migramiño; http://migraminho.org/). Overall, the freshwater distribution of Atlantic salmon has not changed significantly since the previous OSPAR assessment</w:t>
            </w:r>
            <w:r w:rsidR="003770E1">
              <w:rPr>
                <w:rFonts w:asciiTheme="minorHAnsi" w:hAnsiTheme="minorHAnsi" w:cstheme="minorHAnsi"/>
                <w:sz w:val="22"/>
                <w:szCs w:val="22"/>
                <w:lang w:val="en-GB"/>
              </w:rPr>
              <w:t xml:space="preserve"> in 2010</w:t>
            </w:r>
            <w:r w:rsidRPr="00143CB6">
              <w:rPr>
                <w:rFonts w:asciiTheme="minorHAnsi" w:hAnsiTheme="minorHAnsi" w:cstheme="minorHAnsi"/>
                <w:sz w:val="22"/>
                <w:szCs w:val="22"/>
                <w:lang w:val="en-GB"/>
              </w:rPr>
              <w:t>.</w:t>
            </w:r>
            <w:r w:rsidR="00284E9C" w:rsidRPr="00143CB6">
              <w:rPr>
                <w:rFonts w:asciiTheme="minorHAnsi" w:hAnsiTheme="minorHAnsi" w:cstheme="minorHAnsi"/>
                <w:sz w:val="22"/>
                <w:szCs w:val="22"/>
                <w:lang w:val="en-GB"/>
              </w:rPr>
              <w:t xml:space="preserve"> In Denmark extensive dam removal and river restoration have made hundreds of </w:t>
            </w:r>
            <w:r w:rsidR="005D5FB0" w:rsidRPr="00143CB6">
              <w:rPr>
                <w:rFonts w:asciiTheme="minorHAnsi" w:hAnsiTheme="minorHAnsi" w:cstheme="minorHAnsi"/>
                <w:sz w:val="22"/>
                <w:szCs w:val="22"/>
                <w:lang w:val="en-GB"/>
              </w:rPr>
              <w:t>kilometre</w:t>
            </w:r>
            <w:r w:rsidR="005D5FB0">
              <w:rPr>
                <w:rFonts w:asciiTheme="minorHAnsi" w:hAnsiTheme="minorHAnsi" w:cstheme="minorHAnsi"/>
                <w:sz w:val="22"/>
                <w:szCs w:val="22"/>
                <w:lang w:val="en-GB"/>
              </w:rPr>
              <w:t>s</w:t>
            </w:r>
            <w:r w:rsidR="00284E9C" w:rsidRPr="00143CB6">
              <w:rPr>
                <w:rFonts w:asciiTheme="minorHAnsi" w:hAnsiTheme="minorHAnsi" w:cstheme="minorHAnsi"/>
                <w:sz w:val="22"/>
                <w:szCs w:val="22"/>
                <w:lang w:val="en-GB"/>
              </w:rPr>
              <w:t xml:space="preserve"> </w:t>
            </w:r>
            <w:r w:rsidR="006B77CE">
              <w:rPr>
                <w:rFonts w:asciiTheme="minorHAnsi" w:hAnsiTheme="minorHAnsi" w:cstheme="minorHAnsi"/>
                <w:sz w:val="22"/>
                <w:szCs w:val="22"/>
                <w:lang w:val="en-GB"/>
              </w:rPr>
              <w:t xml:space="preserve">of </w:t>
            </w:r>
            <w:r w:rsidR="00284E9C" w:rsidRPr="00143CB6">
              <w:rPr>
                <w:rFonts w:asciiTheme="minorHAnsi" w:hAnsiTheme="minorHAnsi" w:cstheme="minorHAnsi"/>
                <w:sz w:val="22"/>
                <w:szCs w:val="22"/>
                <w:lang w:val="en-GB"/>
              </w:rPr>
              <w:t xml:space="preserve">spawning and rearing habitat available for salmon, increasing spawning population from </w:t>
            </w:r>
            <w:r w:rsidR="005D5FB0">
              <w:rPr>
                <w:rFonts w:asciiTheme="minorHAnsi" w:hAnsiTheme="minorHAnsi" w:cstheme="minorHAnsi"/>
                <w:sz w:val="22"/>
                <w:szCs w:val="22"/>
                <w:lang w:val="en-GB"/>
              </w:rPr>
              <w:t xml:space="preserve">a </w:t>
            </w:r>
            <w:r w:rsidR="00284E9C" w:rsidRPr="00143CB6">
              <w:rPr>
                <w:rFonts w:asciiTheme="minorHAnsi" w:hAnsiTheme="minorHAnsi" w:cstheme="minorHAnsi"/>
                <w:sz w:val="22"/>
                <w:szCs w:val="22"/>
                <w:lang w:val="en-GB"/>
              </w:rPr>
              <w:t>few hundred to over 10</w:t>
            </w:r>
            <w:r w:rsidR="005D5FB0">
              <w:rPr>
                <w:rFonts w:asciiTheme="minorHAnsi" w:hAnsiTheme="minorHAnsi" w:cstheme="minorHAnsi"/>
                <w:sz w:val="22"/>
                <w:szCs w:val="22"/>
                <w:lang w:val="en-GB"/>
              </w:rPr>
              <w:t xml:space="preserve"> </w:t>
            </w:r>
            <w:r w:rsidR="00284E9C" w:rsidRPr="00143CB6">
              <w:rPr>
                <w:rFonts w:asciiTheme="minorHAnsi" w:hAnsiTheme="minorHAnsi" w:cstheme="minorHAnsi"/>
                <w:sz w:val="22"/>
                <w:szCs w:val="22"/>
                <w:lang w:val="en-GB"/>
              </w:rPr>
              <w:t xml:space="preserve">000) in the last decades (Koed </w:t>
            </w:r>
            <w:r w:rsidR="00284E9C" w:rsidRPr="00143CB6">
              <w:rPr>
                <w:rFonts w:asciiTheme="minorHAnsi" w:hAnsiTheme="minorHAnsi" w:cstheme="minorHAnsi"/>
                <w:i/>
                <w:sz w:val="22"/>
                <w:szCs w:val="22"/>
                <w:lang w:val="en-GB"/>
              </w:rPr>
              <w:t>et al.</w:t>
            </w:r>
            <w:r w:rsidR="00284E9C" w:rsidRPr="00143CB6">
              <w:rPr>
                <w:rFonts w:asciiTheme="minorHAnsi" w:hAnsiTheme="minorHAnsi" w:cstheme="minorHAnsi"/>
                <w:sz w:val="22"/>
                <w:szCs w:val="22"/>
                <w:lang w:val="en-GB"/>
              </w:rPr>
              <w:t>, 2020).</w:t>
            </w:r>
          </w:p>
        </w:tc>
      </w:tr>
      <w:tr w:rsidR="0031651C" w:rsidRPr="00143CB6" w14:paraId="2555A59A" w14:textId="77777777" w:rsidTr="10215BEE">
        <w:tc>
          <w:tcPr>
            <w:tcW w:w="2451" w:type="dxa"/>
          </w:tcPr>
          <w:p w14:paraId="3CBC561D"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Population/abundance (species)</w:t>
            </w:r>
          </w:p>
          <w:p w14:paraId="20406583" w14:textId="77777777" w:rsidR="0031651C" w:rsidRPr="00143CB6" w:rsidRDefault="0031651C" w:rsidP="00437F65">
            <w:pPr>
              <w:spacing w:after="120"/>
              <w:jc w:val="both"/>
              <w:rPr>
                <w:rFonts w:asciiTheme="minorHAnsi" w:hAnsiTheme="minorHAnsi" w:cstheme="minorHAnsi"/>
                <w:sz w:val="22"/>
                <w:szCs w:val="22"/>
                <w:lang w:val="en-GB"/>
              </w:rPr>
            </w:pPr>
          </w:p>
          <w:p w14:paraId="6183174C"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7D21AE19"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noProof/>
                <w:sz w:val="22"/>
                <w:szCs w:val="22"/>
                <w:lang w:val="en-GB"/>
              </w:rPr>
              <w:drawing>
                <wp:inline distT="0" distB="0" distL="0" distR="0" wp14:anchorId="3A671989" wp14:editId="204B65FA">
                  <wp:extent cx="4542790" cy="3730625"/>
                  <wp:effectExtent l="0" t="0" r="0" b="317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42790" cy="3730625"/>
                          </a:xfrm>
                          <a:prstGeom prst="rect">
                            <a:avLst/>
                          </a:prstGeom>
                        </pic:spPr>
                      </pic:pic>
                    </a:graphicData>
                  </a:graphic>
                </wp:inline>
              </w:drawing>
            </w:r>
          </w:p>
          <w:p w14:paraId="10210014" w14:textId="5218E7D7" w:rsidR="0031651C" w:rsidRPr="00143CB6" w:rsidRDefault="0031651C" w:rsidP="00437F65">
            <w:pPr>
              <w:pStyle w:val="Caption"/>
              <w:rPr>
                <w:rFonts w:cstheme="minorHAnsi"/>
                <w:sz w:val="22"/>
                <w:szCs w:val="22"/>
                <w:lang w:val="en-GB"/>
              </w:rPr>
            </w:pPr>
            <w:r w:rsidRPr="00143CB6">
              <w:rPr>
                <w:rFonts w:cstheme="minorHAnsi"/>
                <w:sz w:val="22"/>
                <w:szCs w:val="22"/>
                <w:lang w:val="en-GB"/>
              </w:rPr>
              <w:t>Figure 3: Pre-fishery abundance (PFA) of one-Sea-Winter (1 SW) Atlantic salmon between 2000 and 2020 (ICES, 2021). Black dotted line indicates date of last OSPAR assessment for Atlantic salmon.</w:t>
            </w:r>
          </w:p>
          <w:p w14:paraId="5D0CB0A4" w14:textId="77777777" w:rsidR="0031651C" w:rsidRPr="00143CB6" w:rsidRDefault="0031651C" w:rsidP="00437F65">
            <w:pPr>
              <w:spacing w:after="120"/>
              <w:jc w:val="both"/>
              <w:rPr>
                <w:rFonts w:asciiTheme="minorHAnsi" w:hAnsiTheme="minorHAnsi" w:cstheme="minorHAnsi"/>
                <w:sz w:val="22"/>
                <w:szCs w:val="22"/>
                <w:lang w:val="en-GB"/>
              </w:rPr>
            </w:pPr>
          </w:p>
          <w:p w14:paraId="4AE17851"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noProof/>
                <w:sz w:val="22"/>
                <w:szCs w:val="22"/>
                <w:lang w:val="en-GB"/>
              </w:rPr>
              <w:drawing>
                <wp:inline distT="0" distB="0" distL="0" distR="0" wp14:anchorId="0793ED0F" wp14:editId="50FA05A1">
                  <wp:extent cx="4542790" cy="3730625"/>
                  <wp:effectExtent l="0" t="0" r="0" b="317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42790" cy="3730625"/>
                          </a:xfrm>
                          <a:prstGeom prst="rect">
                            <a:avLst/>
                          </a:prstGeom>
                        </pic:spPr>
                      </pic:pic>
                    </a:graphicData>
                  </a:graphic>
                </wp:inline>
              </w:drawing>
            </w:r>
          </w:p>
          <w:p w14:paraId="715263A2" w14:textId="6A5E20C9" w:rsidR="0031651C" w:rsidRPr="00143CB6" w:rsidRDefault="0031651C" w:rsidP="00437F65">
            <w:pPr>
              <w:pStyle w:val="Caption"/>
              <w:rPr>
                <w:rFonts w:cstheme="minorHAnsi"/>
                <w:sz w:val="22"/>
                <w:szCs w:val="22"/>
                <w:lang w:val="en-GB"/>
              </w:rPr>
            </w:pPr>
            <w:r w:rsidRPr="00143CB6">
              <w:rPr>
                <w:rFonts w:cstheme="minorHAnsi"/>
                <w:sz w:val="22"/>
                <w:szCs w:val="22"/>
                <w:lang w:val="en-GB"/>
              </w:rPr>
              <w:t xml:space="preserve">Figure 4: Pre-fishery abundance of </w:t>
            </w:r>
            <w:r w:rsidRPr="00143CB6">
              <w:rPr>
                <w:rFonts w:cstheme="minorHAnsi"/>
                <w:bCs/>
                <w:sz w:val="22"/>
                <w:szCs w:val="22"/>
                <w:lang w:val="en-GB"/>
              </w:rPr>
              <w:t>Multi-Sea-Winter (MSW)</w:t>
            </w:r>
            <w:r w:rsidRPr="00143CB6">
              <w:rPr>
                <w:rFonts w:cstheme="minorHAnsi"/>
                <w:b/>
                <w:bCs/>
                <w:sz w:val="22"/>
                <w:szCs w:val="22"/>
                <w:lang w:val="en-GB"/>
              </w:rPr>
              <w:t xml:space="preserve"> </w:t>
            </w:r>
            <w:r w:rsidRPr="00143CB6">
              <w:rPr>
                <w:rFonts w:cstheme="minorHAnsi"/>
                <w:sz w:val="22"/>
                <w:szCs w:val="22"/>
                <w:lang w:val="en-GB"/>
              </w:rPr>
              <w:t>Atlantic salmon between 2000 and 2019 (ICES, 2021). Black dotted line indicates date of last OSPAR assessment for Atlantic salmon.</w:t>
            </w:r>
          </w:p>
          <w:p w14:paraId="00C51F7D" w14:textId="7CFB6EC2" w:rsidR="0031651C" w:rsidRPr="00143CB6" w:rsidRDefault="0031651C" w:rsidP="00437F65">
            <w:pPr>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For the </w:t>
            </w:r>
            <w:r w:rsidR="00E85EA7">
              <w:rPr>
                <w:rFonts w:asciiTheme="minorHAnsi" w:hAnsiTheme="minorHAnsi" w:cstheme="minorHAnsi"/>
                <w:sz w:val="22"/>
                <w:szCs w:val="22"/>
                <w:lang w:val="en-GB"/>
              </w:rPr>
              <w:t>past</w:t>
            </w:r>
            <w:r w:rsidRPr="00143CB6">
              <w:rPr>
                <w:rFonts w:asciiTheme="minorHAnsi" w:hAnsiTheme="minorHAnsi" w:cstheme="minorHAnsi"/>
                <w:sz w:val="22"/>
                <w:szCs w:val="22"/>
                <w:lang w:val="en-GB"/>
              </w:rPr>
              <w:t xml:space="preserve"> decade, the population abundance of Atlantic salmon has declined to an historically low level, notably in OSPAR </w:t>
            </w:r>
            <w:r w:rsidR="00E85EA7">
              <w:rPr>
                <w:rFonts w:asciiTheme="minorHAnsi" w:hAnsiTheme="minorHAnsi" w:cstheme="minorHAnsi"/>
                <w:sz w:val="22"/>
                <w:szCs w:val="22"/>
                <w:lang w:val="en-GB"/>
              </w:rPr>
              <w:t>R</w:t>
            </w:r>
            <w:r w:rsidRPr="00143CB6">
              <w:rPr>
                <w:rFonts w:asciiTheme="minorHAnsi" w:hAnsiTheme="minorHAnsi" w:cstheme="minorHAnsi"/>
                <w:sz w:val="22"/>
                <w:szCs w:val="22"/>
                <w:lang w:val="en-GB"/>
              </w:rPr>
              <w:t xml:space="preserve">egion </w:t>
            </w:r>
            <w:r w:rsidR="00E85EA7">
              <w:rPr>
                <w:rFonts w:asciiTheme="minorHAnsi" w:hAnsiTheme="minorHAnsi" w:cstheme="minorHAnsi"/>
                <w:sz w:val="22"/>
                <w:szCs w:val="22"/>
                <w:lang w:val="en-GB"/>
              </w:rPr>
              <w:t xml:space="preserve">I </w:t>
            </w:r>
            <w:r w:rsidRPr="00143CB6">
              <w:rPr>
                <w:rFonts w:asciiTheme="minorHAnsi" w:hAnsiTheme="minorHAnsi" w:cstheme="minorHAnsi"/>
                <w:sz w:val="22"/>
                <w:szCs w:val="22"/>
                <w:lang w:val="en-GB"/>
              </w:rPr>
              <w:t xml:space="preserve">(Figure 3 and 4 ; for Norway, see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highlight w:val="yellow"/>
                <w:lang w:val="en-GB"/>
              </w:rPr>
              <w:instrText xml:space="preserve"> ADDIN ZOTERO_ITEM CSL_CITATION {"citationID":"CoREL7z7","properties":{"formattedCitation":"(Forseth et al., 2020)","plainCitation":"(Forseth et al., 2020)","noteIndex":0},"citationItems":[{"id":"HFN45aOe/HE2acr88","uris":["http://zotero.org/users/local/6PJuduYe/items/8R2BZZJE"],"uri":["http://zotero.org/users/local/6PJuduYe/items/8R2BZZJE"],"itemData":{"id":535,"type":"article","title":"Status of wild Atlantic salmon in Norway 2020","URL":"https://vitenskapsradet.no/Portals/vitenskapsradet/Pdf/Status%20of%20wild%20Atlantic%20salmon%20in%20Norway%202020T.pdf?ver=5edE21dH2DFOaPNai04Uig%3d%3d","author":[{"family":"Forseth","given":"Torbjørn"},{"family":"Thorstad","given":"Eva B"},{"family":"Fiske","given":"Peder"}],"accessed":{"date-parts":[["2021",9,30]]},"issued":{"date-parts":[["2020"]]}}}],"schema":"https://github.com/citation-style-language/schema/raw/master/csl-citation.json"}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(Forseth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2020)</w:t>
            </w:r>
            <w:r w:rsidRPr="00143CB6">
              <w:rPr>
                <w:rFonts w:asciiTheme="minorHAnsi" w:hAnsiTheme="minorHAnsi" w:cstheme="minorHAnsi"/>
                <w:sz w:val="22"/>
                <w:szCs w:val="22"/>
                <w:lang w:val="en-GB"/>
              </w:rPr>
              <w:fldChar w:fldCharType="end"/>
            </w:r>
            <w:r w:rsidR="00E85EA7">
              <w:rPr>
                <w:rFonts w:asciiTheme="minorHAnsi" w:hAnsiTheme="minorHAnsi" w:cstheme="minorHAnsi"/>
                <w:sz w:val="22"/>
                <w:szCs w:val="22"/>
                <w:lang w:val="en-GB"/>
              </w:rPr>
              <w:t>)</w:t>
            </w:r>
            <w:r w:rsidRPr="00143CB6">
              <w:rPr>
                <w:rFonts w:asciiTheme="minorHAnsi" w:hAnsiTheme="minorHAnsi" w:cstheme="minorHAnsi"/>
                <w:sz w:val="22"/>
                <w:szCs w:val="22"/>
                <w:lang w:val="en-GB"/>
              </w:rPr>
              <w:t xml:space="preserve">. The situation in other Regions is mixed among stocks and sea ages. The situation in France is estimated to be quite constant. In the UK (OSPAR </w:t>
            </w:r>
            <w:r w:rsidR="00826A34">
              <w:rPr>
                <w:rFonts w:asciiTheme="minorHAnsi" w:hAnsiTheme="minorHAnsi" w:cstheme="minorHAnsi"/>
                <w:sz w:val="22"/>
                <w:szCs w:val="22"/>
                <w:lang w:val="en-GB"/>
              </w:rPr>
              <w:t>R</w:t>
            </w:r>
            <w:r w:rsidRPr="00143CB6">
              <w:rPr>
                <w:rFonts w:asciiTheme="minorHAnsi" w:hAnsiTheme="minorHAnsi" w:cstheme="minorHAnsi"/>
                <w:sz w:val="22"/>
                <w:szCs w:val="22"/>
                <w:lang w:val="en-GB"/>
              </w:rPr>
              <w:t>egions II and III), the Pre Fishery Abundance of maturing 1SW (</w:t>
            </w:r>
            <w:r w:rsidRPr="00143CB6">
              <w:rPr>
                <w:rFonts w:asciiTheme="minorHAnsi" w:eastAsia="Calibri" w:hAnsiTheme="minorHAnsi" w:cstheme="minorHAnsi"/>
                <w:i/>
                <w:iCs/>
                <w:sz w:val="22"/>
                <w:szCs w:val="22"/>
                <w:lang w:val="en-GB"/>
              </w:rPr>
              <w:t>i.e.</w:t>
            </w:r>
            <w:r w:rsidRPr="00143CB6">
              <w:rPr>
                <w:rFonts w:asciiTheme="minorHAnsi" w:eastAsia="Calibri" w:hAnsiTheme="minorHAnsi" w:cstheme="minorHAnsi"/>
                <w:sz w:val="22"/>
                <w:szCs w:val="22"/>
                <w:lang w:val="en-GB"/>
              </w:rPr>
              <w:t xml:space="preserve">, individuals that return as mature fish to spawn only after one-Sea-Winter at sea, also called grilse; </w:t>
            </w:r>
            <w:r w:rsidRPr="00143CB6">
              <w:rPr>
                <w:rFonts w:asciiTheme="minorHAnsi" w:hAnsiTheme="minorHAnsi" w:cstheme="minorHAnsi"/>
                <w:sz w:val="22"/>
                <w:szCs w:val="22"/>
                <w:lang w:val="en-GB"/>
              </w:rPr>
              <w:t>Figure 3) and MSW (</w:t>
            </w:r>
            <w:r w:rsidRPr="00143CB6">
              <w:rPr>
                <w:rFonts w:asciiTheme="minorHAnsi" w:eastAsia="Calibri" w:hAnsiTheme="minorHAnsi" w:cstheme="minorHAnsi"/>
                <w:i/>
                <w:iCs/>
                <w:sz w:val="22"/>
                <w:szCs w:val="22"/>
                <w:lang w:val="en-GB"/>
              </w:rPr>
              <w:t>i.e.</w:t>
            </w:r>
            <w:r w:rsidRPr="00143CB6">
              <w:rPr>
                <w:rFonts w:asciiTheme="minorHAnsi" w:eastAsia="Calibri" w:hAnsiTheme="minorHAnsi" w:cstheme="minorHAnsi"/>
                <w:sz w:val="22"/>
                <w:szCs w:val="22"/>
                <w:lang w:val="en-GB"/>
              </w:rPr>
              <w:t>, individuals which have matured after more than one winter at sea;</w:t>
            </w:r>
            <w:r w:rsidRPr="00143CB6">
              <w:rPr>
                <w:rFonts w:asciiTheme="minorHAnsi" w:hAnsiTheme="minorHAnsi" w:cstheme="minorHAnsi"/>
                <w:sz w:val="22"/>
                <w:szCs w:val="22"/>
                <w:lang w:val="en-GB"/>
              </w:rPr>
              <w:t xml:space="preserve"> Figure 4) salmon showed variable trends. In the Iberian peninsula (OSPAR Region IV), populations had declined dramatically over the last decade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{"citationID":"TLXVUXGO","properties":{"formattedCitation":"(Mota et al., 2016; Nicola et al., 2018b)","plainCitation":"(Mota et al., 2016; Nicola et al., 2018b)","noteIndex":0},"citationItems":[{"id":"HFN45aOe/aWEYVXDW","uris":["http://zotero.org/users/local/6PJuduYe/items/9PKC78P9"],"uri":["http://zotero.org/users/local/6PJuduYe/items/9PKC78P9"],"itemData":{"id":386,"type":"article-journal","abstract":"Status of the Diadromous Fish of the Iberian Peninsula: Past, Present and Trends We examined the past, present and predictable status of diadromous fishes on the Iberian Peninsula, with a focus on the species inhabiting the Minho River. Data on six diadromous species (five anadromous, one catadromous) were collected. Due to population extinction and abundance reductions, many species are now classified as threatened or endangered. Many populations persisted at only drastically reduced abundance levels. Habitat loss (especially damming), overfishing, pollution and, increasingly, climate change contributed to this decline of diadromous fish. Although there is still limited information on the conservation status, migratory behaviour, biology and ecology of diadromous fish in the Iberian Peninsula, and except for Sea lamprey, which have shown a recent rise in population size in some rivers, it is clear that diadromous fish populations are showing a general trend towards decline. Overall, Iberian diadromous species have suffered a great decline since the 20 th century. Although Iberian Sea lamprey populations are not critically endangered or endangered, they are facing a high risk of extinction in the wild in the medium-term future. Atlantic salmon populations experienced the first serious decline in the 19 th century, and the decline has continued during the 20 th century. Despite the importance of Sea trout in Galician (NW Spain) and North Portugal, to date, few studies have been performed. The reduction in the Portuguese Sea trout populations may have reached 98% of the number of mature individuals. Allis and Twaite shads were, at times, of large economic importance, but currently, some Iberian populations are severely extirpated. For example, in the Minho River, the catches have decreased by about 90% since the 50 th decade of the 20 th Century. In the Iberian Peninsula, eel disappeared from important Iberian catchment areas, and during the 1980s, commercial fishing showed a downward trend. As most of the larger Iberian rivers cross international borders, the management and conservation of migratory fish species on transboundary rivers should be based on international cooperative and concerted efforts. RESUMO Estado dos peixes diádromos da Península Ibérica: Passado, Presente e Tendências Examinámos o passado, o presente e o estatuto previsível dos peixes diádromos da Península Ibérica, com foco nas espécies presentes no rio Minho. Foram analisados dados de seis espécies diádromas (cinco anádromas, uma catádroma). Devido à extinção e diminuição da abundância de populações, muitas espécies estão atualmente classificadas como ameaçadas ou em perigo. Muitas populações permaneceram em níveis de abundância drasticamente reduzidos. Perda de habitat (principalmente pela construção de barragens), sobrepesca, poluição e, gradualmente, as alterações climáticas, contribuíram para o declínio das espécies diádromas. Embora o conhecimento sobre o estado de conservação, comportamento migratório, biologia e ecologia dos peixes diádromos seja reduzido na Península Ibérica e com exceção da lampreia que mostrou um aumento populacional em alguns rios, é evidente que as populações de peixes diádromos têm mostrado uma tendência geral 16481_Limnetica 35(1), pàgina 5, 20/05/2016","page":"1-18","source":"ResearchGate","title":"Status of the Diadromous Fish of the Iberian Peninsula: Past, Present and Trends","title-short":"Status of the Diadromous Fish of the Iberian Peninsula","volume":"29","author":[{"family":"Mota","given":"Micaela"},{"family":"Rochard","given":"Eric"},{"family":"Antunes","given":"Carlos"}],"issued":{"date-parts":[["2016",7,1]]}}},{"id":"HFN45aOe/1ODaVNMb","uris":["http://zotero.org/users/local/6PJuduYe/items/UZ7UY677"],"uri":["http://zotero.org/users/local/6PJuduYe/items/UZ7UY677"],"itemData":{"id":331,"type":"article-journal","abstract":"The abundance of Atlantic salmon is declining throughout its geographical area. Fisheries and global warming were assumed as main drivers of the decline, and recent studies suggest that habitat changes in freshwater is a third contributor. Southern populations experience the greatest decline, and face the highest risk of extinction as global warming moves its thermal niche northwards. We analysed long-term catch data (1949–2013) from a salmon fishery in northern Spain, and examined its relationship with local and global indicators of temperature and hydrological change. CPUE data, analysed by ARIMA time-series models, exhibited a significant negative trend and a marked decrease since 1973–1974, possibly triggered by overfishing at sea and a sudden outbreak of disease. Temperature increased in the same period, particularly so since 1986–1988, being negatively correlated with CPUE. A significant change in magnitude and duration of extreme water conditions occurred from 1970s onwards. Indicators of hydrological shift were also significantly correlated with CPUE of returning salmon. The best ARIMAX models indicated however, that the decrease in salmon CPUE was mainly driven by temperature trends. This indicates that both local (temperature and flow in the river) and global (ocean temperature) factors have contributed to the decrease in salmon numbers, and that temperature has played the major role. Despite a strong reduction in fishing pressure after the 1970s widespread collapse, our study population did not recover to previous abundance levels. This suggests the operation of additional factors, being climate warming and changes in food webs of the North Atlantic the most likely reasons.","container-title":"Fisheries Research","DOI":"10.1016/j.fishres.2017.10.012","ISSN":"0165-7836","journalAbbreviation":"Fisheries Research","language":"en","page":"78-85","source":"ScienceDirect","title":"Local and global climatic drivers of Atlantic salmon decline in southern Europe","volume":"198","author":[{"family":"Nicola","given":"Graciela G."},{"family":"Elvira","given":"Benigno"},{"family":"Jonsson","given":"Bror"},{"family":"Ayllón","given":"Daniel"},{"family":"Almodóvar","given":"Ana"}],"issued":{"date-parts":[["2018",2,1]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(Mota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2016; Nicola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2018)</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Recent recovery programs in Denmark (OSPAR Region II) produced encouraging growth of a restocking population in the last ten years with a majority of returning adult fish being of wild origin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{"citationID":"AKsw3hiS","properties":{"formattedCitation":"(Koed et al., 2020)","plainCitation":"(Koed et al., 2020)","noteIndex":0},"citationItems":[{"id":"HFN45aOe/7qV9DG0Q","uris":["http://zotero.org/users/local/6PJuduYe/items/6CSMH88Y"],"uri":["http://zotero.org/users/local/6PJuduYe/items/6CSMH88Y"],"itemData":{"id":435,"type":"article-journal","abstract":"The status of Atlantic salmon, Salmo salar L., over the last decades has been of concern across its entire distribution area. Its anadromous nature exposes the species to human pressures in both freshwater and marine environments, and over long periods, thus exacerbating its decline. Given its value within the food industry, the recreational angling community as well as culturally, the status of Atlantic salmon is regarded as a matter of national and international conservation interest, providing great incentive for its management. The literature currently lacks specific examples of successful and unsuccessful management strategies and practices for Atlantic salmon populations at a broader scale. To address this, the present article describes how the multi-faceted management approach taken for Danish Atlantic salmon, which included changes in legislation, stocking practices, habitat restoration, population genetics and barrier removals, successfully rehabilitated salmon populations in four major Danish rivers. Specific recommendations are provided for the successful management of Atlantic salmon elsewhere.","container-title":"Fisheries Management and Ecology","DOI":"10.1111/fme.12385","ISSN":"1365-2400","issue":"1","language":"en","note":"_eprint: https://onlinelibrary.wiley.com/doi/pdf/10.1111/fme.12385","page":"64-76","source":"Wiley Online Library","title":"From endangered to sustainable: Multi-faceted management in rivers and coasts improves Atlantic salmon (Salmo salar) populations in Denmark","title-short":"From endangered to sustainable","volume":"27","author":[{"family":"Koed","given":"Anders"},{"family":"Birnie-Gauvin","given":"Kim"},{"family":"Sivebæk","given":"Finn"},{"family":"Aarestrup","given":"Kim"}],"issued":{"date-parts":[["2020"]]}}}],"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(ICES, 2021; Koed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2020; NASCO, 2020b)</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their effects on wild populations should continue to be documented. Despite these general trends at the national scale, it is important to consider that trends in individual Atlantic salmon stocks may be quite variable within a </w:t>
            </w:r>
            <w:r w:rsidR="00CC5C3C">
              <w:rPr>
                <w:rFonts w:asciiTheme="minorHAnsi" w:hAnsiTheme="minorHAnsi" w:cstheme="minorHAnsi"/>
                <w:sz w:val="22"/>
                <w:szCs w:val="22"/>
                <w:lang w:val="en-GB"/>
              </w:rPr>
              <w:t>R</w:t>
            </w:r>
            <w:r w:rsidRPr="00143CB6">
              <w:rPr>
                <w:rFonts w:asciiTheme="minorHAnsi" w:hAnsiTheme="minorHAnsi" w:cstheme="minorHAnsi"/>
                <w:sz w:val="22"/>
                <w:szCs w:val="22"/>
                <w:lang w:val="en-GB"/>
              </w:rPr>
              <w:t xml:space="preserve">egion. For example, a study aggregating data from 29 monitored rivers from France between 1980 and 2010,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{"citationID":"W9IgA1k5","properties":{"formattedCitation":"(Legrand et al., 2020)","plainCitation":"(Legrand et al., 2020)","noteIndex":0},"citationItems":[{"id":"HFN45aOe/SY4cjl0Z","uris":["http://zotero.org/users/local/6PJuduYe/items/TUP76AS4"],"uri":["http://zotero.org/users/local/6PJuduYe/items/TUP76AS4"],"itemData":{"id":179,"type":"article-journal","abstract":"The decline and collapse of populations have been reported for a large range of taxa. Diadromous fishes migrate between fresh water and the sea and encounter many anthropogenic pressures during their complex life cycle. In spite of being of ecological, cultural and economic interest, diadromous fishes have been in decline for decades in many parts across the world. In this study, we investigated the change in five diadromous fish counts in France over a 30-year period using 43 monitoring stations located in 29 rivers across 18 catchments. Our hypothesis was that the counts of these species evolved in a contrasting way between catchments. We also tested the effect of five drivers potentially contributing to the observed trends: catchment, latitude, presence of commercial fisheries, improvement of ecological continuity and salmon stocking. We found contrasting trends in fish counts between species at the national scale, with some taxa increasing (&lt;i&gt;Anguilla anguilla&lt;i/&gt; and &lt;i&gt;Salmo trutta&lt;i/&gt;), some showing a slight increase (&lt;i&gt;Salmo salar&lt;i/&gt;) and some decreasing (&lt;i&gt;Alosa&lt;i/&gt; spp. and &lt;i&gt;Petromyzon marinus&lt;i/&gt;). For each taxon, except &lt;i&gt;Anguilla anguilla&lt;i/&gt;, we highlighted a significant catchment effect indicating contrasting trends between catchments and stations. However, we found no significant effect of catchment characteristics for any of the studied taxa.","container-title":"Knowledge &amp; Management of Aquatic Ecosystems","DOI":"10.1051/kmae/2019046","ISSN":"1961-9502","issue":"421","journalAbbreviation":"Knowl. Manag. Aquat. Ecosyst.","language":"en","note":"number: 421\npublisher: EDP Sciences","page":"7","source":"www.kmae-journal.org","title":"Contrasting trends between species and catchments in diadromous fish counts over the last 30 years in France","author":[{"family":"Legrand","given":"Marion"},{"family":"Briand","given":"Cédric"},{"family":"Buisson","given":"Laëtitia"},{"family":"Artur","given":"Gwenaël"},{"family":"Azam","given":"Didier"},{"family":"Baisez","given":"Aurore"},{"family":"Barracou","given":"David"},{"family":"Bourré","given":"Nicolas"},{"family":"Carry","given":"Laurent"},{"family":"Caudal","given":"Anne-Laure"},{"family":"Charrier","given":"Fabien"},{"family":"Corre","given":"Jérémie"},{"family":"Croguennec","given":"Eric"},{"family":"Mikaélian","given":"Sophie Der"},{"family":"Josset","given":"Quentin"},{"family":"Gurun","given":"Laëtitia Le"},{"family":"Schaeffer","given":"Frédéric"},{"family":"Laffaille","given":"Pascal"}],"issued":{"date-parts":[["2020"]]}}}],"schema":"https://github.com/citation-style-language/schema/raw/master/csl-citation.json"}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(Legrand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2020)</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found a slightly significant increase of Atlantic salmon abundance at the national scale but with contrasting trends between several basins (across OSPAR Regions II, III and IV). </w:t>
            </w:r>
          </w:p>
        </w:tc>
      </w:tr>
      <w:tr w:rsidR="0031651C" w:rsidRPr="00143CB6" w14:paraId="6BECD3A8" w14:textId="77777777" w:rsidTr="10215BEE">
        <w:tc>
          <w:tcPr>
            <w:tcW w:w="2451" w:type="dxa"/>
          </w:tcPr>
          <w:p w14:paraId="61BEB858"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Condition </w:t>
            </w:r>
          </w:p>
          <w:p w14:paraId="6CB30489"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2AC1E7F8" w14:textId="5C804CA3" w:rsidR="0031651C" w:rsidRPr="00143CB6" w:rsidRDefault="0031651C" w:rsidP="00437F65">
            <w:pPr>
              <w:rPr>
                <w:rFonts w:asciiTheme="minorHAnsi" w:eastAsia="Calibri" w:hAnsiTheme="minorHAnsi" w:cstheme="minorHAnsi"/>
                <w:sz w:val="22"/>
                <w:szCs w:val="22"/>
                <w:lang w:val="en-GB"/>
              </w:rPr>
            </w:pPr>
            <w:r w:rsidRPr="00143CB6">
              <w:rPr>
                <w:rFonts w:asciiTheme="minorHAnsi" w:hAnsiTheme="minorHAnsi" w:cstheme="minorHAnsi"/>
                <w:sz w:val="22"/>
                <w:szCs w:val="22"/>
                <w:lang w:val="en-GB"/>
              </w:rPr>
              <w:t xml:space="preserve">Several studies have reported long-term reductions in body size and condition as well as changes in growth metrics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{"citationID":"CSU6vF5L","properties":{"formattedCitation":"(Forseth et al., 2020; Quinn et al., 2006; Saura et al., 2010; Todd et al., 2021)","plainCitation":"(Forseth et al., 2020; Quinn et al., 2006; Saura et al., 2010; Todd et al., 2021)","noteIndex":0},"citationItems":[{"id":"HFN45aOe/HE2acr88","uris":["http://zotero.org/users/local/6PJuduYe/items/8R2BZZJE"],"uri":["http://zotero.org/users/local/6PJuduYe/items/8R2BZZJE"],"itemData":{"id":535,"type":"article","title":"Status of wild Atlantic salmon in Norway 2020","URL":"https://vitenskapsradet.no/Portals/vitenskapsradet/Pdf/Status%20of%20wild%20Atlantic%20salmon%20in%20Norway%202020T.pdf?ver=5edE21dH2DFOaPNai04Uig%3d%3d","author":[{"family":"Forseth","given":"Torbjørn"},{"family":"Thorstad","given":"Eva B"},{"family":"Fiske","given":"Peder"}],"accessed":{"date-parts":[["2021",9,30]]},"issued":{"date-parts":[["2020"]]}}},{"id":"HFN45aOe/eKNiL1j9","uris":["http://zotero.org/users/local/6PJuduYe/items/TUNYEY6P"],"uri":["http://zotero.org/users/local/6PJuduYe/items/TUNYEY6P"],"itemData":{"id":393,"type":"article-journal","abstract":"Records extending back from three to seven decades from Atlantic salmon Salmo salar fisheries on the Blackwater, Newport and Owenduff River systems in Ireland, were used to test the hypothesis that there have been progressive declines in size and associated shifts in run timing. They showed identical patterns in four respects: 1) peaks of catch, in spring (March to April) and summer (June to July), 2) the largest fish were caught in the spring, with declines in size over the summer and a slight increase in autumn, 3) marked declines over time in average size and in the proportion of the Atlantic salmon taken in spring and 4) reductions in size in most months at all three sites. Correlations were also detected in average fish mass among the rivers over time (especially the Owenduff and Newport systems), showing a slight rise from the late 1960s until the late 1970s, followed by a steep decline. Data from an electronic counter on the Blackwater showed a reduction in the abundance of early migrants. The early fish were apparently much more vulnerable to fishing than later migrants, so the catch records overstated the abundance of early fish. These long-term declines in size, which have been noted elsewhere, may be due to other factors in addition to changes in marine productivity. Specifically, reduction in the abundance of large, spring-running Atlantic salmon may be due to selection resulting from heavy angler exploitation.","container-title":"Journal of Fish Biology","DOI":"10.1111/j.0022-1112.2006.01017.x","ISSN":"1095-8649","issue":"6","language":"en","note":"_eprint: https://onlinelibrary.wiley.com/doi/pdf/10.1111/j.0022-1112.2006.01017.x","page":"1713-1730","source":"Wiley Online Library","title":"Long-term declines in body size and shifts in run timing of Atlantic salmon in Ireland","volume":"68","author":[{"family":"Quinn","given":"T. P."},{"family":"McGinnity","given":"P."},{"family":"Cross","given":"T. F."}],"issued":{"date-parts":[["2006"]]}}},{"id":"HFN45aOe/4cJrn4J8","uris":["http://zotero.org/users/local/6PJuduYe/items/JTV7Q483"],"uri":["http://zotero.org/users/local/6PJuduYe/items/JTV7Q483"],"itemData":{"id":474,"type":"article-journal","abstract":"1. Recreational angling activities in wild populations of Atlantic salmon may induce a selection pressure towards a reduction in body size and length if the angling season coincides with the return of the largest sea age fish class. 2. Using estimates of heritability for growth traits and estimates of the selection pressure from angling operating on growth, we predicted the response to selection expected to occur in a wild population of Atlantic salmon. 3. The dataset used here comprised individuals from two consecutive generations (parents and offspring) from the River Bidasoa (NW Spain). Offspring were assigned to parents using six highly polymorphic microsatellite loci. Use of restricted maximum likelihood methodology and the animal model allowed us to estimate the heritability for body length and body weight as well as their genetic correlation. 4. Estimated heritabilities (0.32 ± 0.12 for length and 0.32 ± 0.11 for weight) and selection pressure caused by angling were used to obtain predictions of response to selection because of angling. Our results suggested a decline of 1.9 mm in body length and 103.3 g in body weight per generation because of angling pressure. 5. The results derived from this study suggest that the angling season should be annually delayed in order to avoid selective angling of the multi-year class and further reductions in body weight and length.","container-title":"Freshwater Biology","DOI":"10.1111/j.1365-2427.2009.02346.x","ISSN":"1365-2427","issue":"4","language":"en","note":"_eprint: https://onlinelibrary.wiley.com/doi/pdf/10.1111/j.1365-2427.2009.02346.x","page":"923-930","source":"Wiley Online Library","title":"Predictions of response to selection caused by angling in a wild population of Atlantic salmon (Salmo salar)","volume":"55","author":[{"family":"Saura","given":"María"},{"family":"Morán","given":"Paloma"},{"family":"Brotherstone","given":"Susan"},{"family":"Caballero","given":"Armando"},{"family":"Álvarez","given":"Javier"},{"family":"Villanueva","given":"Beatriz"}],"issued":{"date-parts":[["2010"]]}}},{"id":"HFN45aOe/Q9NSvcbu","uris":["http://zotero.org/users/local/6PJuduYe/items/557JCZ63"],"uri":["http://zotero.org/users/local/6PJuduYe/items/557JCZ63"],"itemData":{"id":453,"type":"article-journal","abstract":"Variation in circulus spacing on the scales of wild Atlantic salmon is indicative of changes in body length growth rate. We analyzed scale circulus spacing during the post-smolt growth period for adult one sea-winter salmon (n = 1947) returning to Scotland over the period 1993–2011. The growth pattern of the scales was subjectively and visually categorized according to the occurrence and zonal sequence of three intercirculus spacing criteria (“Slow”, “Fast” and “Check” zones). We applied hierarchical time-series cluster analysis to the empirical circulus spacing data, followed by post hoc analysis of significant changes in growth patterns within the 20 identified clusters. Temporal changes in growth pattern frequencies showed significant correlation with sea surface temperature anomalies during the early months of the post-smolt growth season and throughout the Norwegian Sea. Since the turn of the millennium, we observed (a) a marked decrease in the occurrence of continuous Fast growth; (b) increased frequencies of fish showing an extended period of initially Slow growth; and (c) the occurrence of obvious growth Checks or hiatuses. These changes in post-smolt growth pattern were manifest also in decreases in the mean body length attained by the ocean midwinter, as sea surface temperatures have risen.","container-title":"Journal of Fish Biology","DOI":"10.1111/jfb.14552","ISSN":"1095-8649","issue":"1","language":"en","note":"_eprint: https://onlinelibrary.wiley.com/doi/pdf/10.1111/jfb.14552","page":"6-16","source":"Wiley Online Library","title":"Variation in the post-smolt growth pattern of wild one sea-winter salmon (Salmo salar L.), and its linkage to surface warming in the eastern North Atlantic Ocean","volume":"98","author":[{"family":"Todd","given":"Christopher D."},{"family":"Hanson","given":"Nora N."},{"family":"Boehme","given":"Lars"},{"family":"Revie","given":"Crawford W."},{"family":"Marques","given":"Ana R."}],"issued":{"date-parts":[["2021"]]}}}],"schema":"https://github.com/citation-style-language/schema/raw/master/csl-citation.json"}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(Forseth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2020; Quinn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2006; Saura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2010; Todd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often more strongly affecting 1SW than MSW fish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{"citationID":"p1kaiXBx","properties":{"formattedCitation":"(Bacon et al., 2009)","plainCitation":"(Bacon et al., 2009)","noteIndex":0},"citationItems":[{"id":"HFN45aOe/6W6wqiJ7","uris":["http://zotero.org/users/local/6PJuduYe/items/Y2UULPGL"],"uri":["http://zotero.org/users/local/6PJuduYe/items/Y2UULPGL"],"itemData":{"id":456,"type":"article-journal","abstract":"Bacon, P. J., Palmer, S. C. F., MacLean, J. C., Smith, G. W., Whyte, B. D. M., Gurney, W. S. C., and Youngson, A. F. 2009. Empirical analyses of the length, weight, and condition of adult Atlantic salmon on return to the Scottish coast between 1963 and 2006. – ICES Journal of Marine Science, 66: 844–859. Sea age, size, and condition of adult Atlantic salmon (Salmo salar) are prime determinants of individual, and hence population, productivity. To elucidate potential mechanisms, 151 000 records of salmon returning to six Scottish coastal sites over 44 years were analysed for length, weight, and condition, by site, sex, sea age, and river age. After correcting for capture effort biases, all sites showed seasonal increases in length and weight for both 1 sea winter (1SW) and 2SW fish. However, whereas condition increased slightly with season for 2SW, it decreased notably for 1SW. Sites showed common decadal trends in length, weight, and condition. Within years, length and weight residuals from trends were coherent across sites, but residuals from condition trends were not. Rates of seasonal condition change also showed decadal trends, dramatically different between sea ages, but common across sites within sea-age groups. Longer salmon were disproportionately heavy in all seasons. 1SW condition was markedly lower in 2006. Detrended correlations with oceanic environmental variables were generally not significant, and always weak. A published correlation between the condition of 1SW salmon caught at a single site and sea surface temperatures in the Northeast Atlantic could not be substantiated for any of the six fisheries over the wider time-scales examined.","container-title":"ICES Journal of Marine Science","DOI":"10.1093/icesjms/fsp096","ISSN":"1054-3139","issue":"5","journalAbbreviation":"ICES Journal of Marine Science","page":"844-859","source":"Silverchair","title":"Empirical analyses of the length, weight, and condition of adult Atlantic salmon on return to the Scottish coast between 1963 and 2006","volume":"66","author":[{"family":"Bacon","given":"P. J."},{"family":"Palmer","given":"S. C. F."},{"family":"MacLean","given":"J. C."},{"family":"Smith","given":"G. W."},{"family":"Whyte","given":"B. D. M."},{"family":"Gurney","given":"W. S. C."},{"family":"Youngson","given":"A. F."}],"issued":{"date-parts":[["2009",6,1]]}}}],"schema":"https://github.com/citation-style-language/schema/raw/master/csl-citation.json"}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(Bacon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2009)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Several studies further demonstrated that low fecundity and reduced reproductive potential of populations are correlated with loss of weight and lower growth rates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{"citationID":"3bGA5Ns2","properties":{"formattedCitation":"(de\\uc0\\u160{}Eyto et al., 2015; Jacobson et al., 2021)","plainCitation":"(de Eyto et al., 2015; Jacobson et al., 2021)","noteIndex":0},"citationItems":[{"id":"HFN45aOe/dbc0PdYo","uris":["http://zotero.org/users/local/6PJuduYe/items/QG6WFWH9"],"uri":["http://zotero.org/users/local/6PJuduYe/items/QG6WFWH9"],"itemData":{"id":429,"type":"article-journal","abstract":"Management of many salmon populations is based on maintaining individual stocks above a conservation limit defined as the maximum sustainable yield point from a stock recruitment (SR) relationship. A crucial input parameter of any SR analysis is an accurate measure of fecundity. Atlantic salmon (Salmo salar L.) fecundity data from nine rivers in Ireland were collated and analysed, providing the first comprehensive multi-river assessment of egg numbers for Irish stocks. The number of eggs in wild 1SW fish (1 sea winter, also known as grilse) varied with fish size and also according to the source river. When expressed as eggs per kg of fish, river was a less important explanatory variable. The number of eggs in wild fish averaged 3441 for 1SW fish and 6059 for MSW (multi-sea winter) fish, respectively. Egg diameter also varied with fish size and source river. A negative binomial model of egg number per fish, with weight as the only explanatory variable, accounted for 60% of the explained deviance in this dataset. When applied to a large national dataset of fish weights from angling records, this model allows river-specific fecundity to be estimated for salmon populations with varying life history characteristics. The model predicts that the fecundity of Irish salmon is at the lower end of the range reported for Atlantic salmon across Europe.","container-title":"Fisheries Research","DOI":"10.1016/j.fishres.2014.11.017","ISSN":"0165-7836","journalAbbreviation":"Fisheries Research","language":"en","page":"159-169","source":"ScienceDirect","title":"The fecundity of wild Irish Atlantic salmon Salmo salar L. and its application for stock assessment purposes","volume":"164","author":[{"family":"Eyto","given":"E.","non-dropping-particle":"de"},{"family":"White","given":"J."},{"family":"Boylan","given":"P."},{"family":"Clarke","given":"B."},{"family":"Cotter","given":"D."},{"family":"Doherty","given":"D."},{"family":"Gargan","given":"P."},{"family":"Kennedy","given":"R."},{"family":"McGinnity","given":"P."},{"family":"O’Maoiléidigh","given":"N."},{"family":"O’Higgins","given":"K."}],"issued":{"date-parts":[["2015",4,1]]}}},{"id":"HFN45aOe/GZRXvgN0","uris":["http://zotero.org/users/local/6PJuduYe/items/6RV3F9GW"],"uri":["http://zotero.org/users/local/6PJuduYe/items/6RV3F9GW"],"itemData":{"id":343,"type":"article-journal","abstract":"Understanding the processes shaping the dynamics of anadromous fish populations is essential for their management and conservation. Yet, little is known about how variation in performance at sea affects their population dynamics. Here we show that variation in body growth at sea contributes to explaining variation in the reproductive potential for 2 Atlantic salmon Salmo salar populations, but to a varying extent. To this end, we assembled data collected during 50 yr for 2 Baltic salmon populations of hatchery origin, including annually released smolts, survival at sea estimates, size-specific growth at sea, annual length distributions of returning adult females and their reproductive potential. The regression models fitted to explain the reproductive potential of our 2 study populations improved when growth at sea was included as an explanatory variable, in addition to smolt year class abundance and estimates of their survival at sea. This link between body growth at sea and population-level reproductive potential suggests that growth at sea can be important to consider when resolving variation in recovery and dynamics among salmon populations sharing the same sea.","container-title":"Marine Ecology Progress Series","DOI":"10.3354/meps13734","ISSN":"0171-8630, 1616-1599","language":"en","page":"165-174","source":"www.int-res.com","title":"Growth variation of Atlantic salmon Salmo salar at sea affects their population-specific reproductive potential","volume":"671","author":[{"family":"Jacobson","given":"Philip"},{"family":"Whitlock","given":"Rebecca"},{"family":"Huss","given":"Magnus"},{"family":"Leonardsson","given":"Kjell"},{"family":"Östergren","given":"Johan"},{"family":"Gårdmark","given":"Anna"}],"issued":{"date-parts":[["2021",8,5]]}}}],"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(de Eyto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2015; Jacobson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w:t>
            </w:r>
            <w:r w:rsidRPr="00143CB6">
              <w:rPr>
                <w:rFonts w:asciiTheme="minorHAnsi" w:eastAsia="Calibri" w:hAnsiTheme="minorHAnsi" w:cstheme="minorHAnsi"/>
                <w:sz w:val="22"/>
                <w:szCs w:val="22"/>
                <w:lang w:val="en-GB"/>
              </w:rPr>
              <w:t>While over the long-term the general trend in salmon condition has been downward</w:t>
            </w:r>
            <w:r w:rsidR="00B671D3">
              <w:rPr>
                <w:rFonts w:asciiTheme="minorHAnsi" w:eastAsia="Calibri" w:hAnsiTheme="minorHAnsi" w:cstheme="minorHAnsi"/>
                <w:sz w:val="22"/>
                <w:szCs w:val="22"/>
                <w:lang w:val="en-GB"/>
              </w:rPr>
              <w:t>,</w:t>
            </w:r>
            <w:r w:rsidRPr="00143CB6">
              <w:rPr>
                <w:rFonts w:asciiTheme="minorHAnsi" w:eastAsia="Calibri" w:hAnsiTheme="minorHAnsi" w:cstheme="minorHAnsi"/>
                <w:sz w:val="22"/>
                <w:szCs w:val="22"/>
                <w:lang w:val="en-GB"/>
              </w:rPr>
              <w:t xml:space="preserve"> particularly for 1SW stocks in Celtic Sea (see for instance the study of </w:t>
            </w:r>
            <w:r w:rsidRPr="00143CB6">
              <w:rPr>
                <w:rFonts w:asciiTheme="minorHAnsi" w:hAnsiTheme="minorHAnsi" w:cstheme="minorHAnsi"/>
                <w:sz w:val="22"/>
                <w:szCs w:val="22"/>
                <w:lang w:val="en-GB"/>
              </w:rPr>
              <w:t xml:space="preserve">Todd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2021)</w:t>
            </w:r>
            <w:r w:rsidR="00B671D3">
              <w:rPr>
                <w:rFonts w:asciiTheme="minorHAnsi" w:hAnsiTheme="minorHAnsi" w:cstheme="minorHAnsi"/>
                <w:sz w:val="22"/>
                <w:szCs w:val="22"/>
                <w:lang w:val="en-GB"/>
              </w:rPr>
              <w:t>,</w:t>
            </w:r>
            <w:r w:rsidR="00EA0B49">
              <w:rPr>
                <w:rFonts w:asciiTheme="minorHAnsi" w:eastAsia="Calibri" w:hAnsiTheme="minorHAnsi" w:cstheme="minorHAnsi"/>
                <w:sz w:val="22"/>
                <w:szCs w:val="22"/>
                <w:lang w:val="en-GB"/>
              </w:rPr>
              <w:t xml:space="preserve"> </w:t>
            </w:r>
            <w:r w:rsidRPr="00143CB6">
              <w:rPr>
                <w:rFonts w:asciiTheme="minorHAnsi" w:eastAsia="Calibri" w:hAnsiTheme="minorHAnsi" w:cstheme="minorHAnsi"/>
                <w:sz w:val="22"/>
                <w:szCs w:val="22"/>
                <w:lang w:val="en-GB"/>
              </w:rPr>
              <w:t>there is some evidence to suggest</w:t>
            </w:r>
            <w:r w:rsidR="00EA0B49">
              <w:rPr>
                <w:rFonts w:asciiTheme="minorHAnsi" w:eastAsia="Calibri" w:hAnsiTheme="minorHAnsi" w:cstheme="minorHAnsi"/>
                <w:sz w:val="22"/>
                <w:szCs w:val="22"/>
                <w:lang w:val="en-GB"/>
              </w:rPr>
              <w:t>ing</w:t>
            </w:r>
            <w:r w:rsidR="00B671D3">
              <w:rPr>
                <w:rFonts w:asciiTheme="minorHAnsi" w:eastAsia="Calibri" w:hAnsiTheme="minorHAnsi" w:cstheme="minorHAnsi"/>
                <w:sz w:val="22"/>
                <w:szCs w:val="22"/>
                <w:lang w:val="en-GB"/>
              </w:rPr>
              <w:t xml:space="preserve"> the trend </w:t>
            </w:r>
            <w:r w:rsidRPr="00143CB6">
              <w:rPr>
                <w:rFonts w:asciiTheme="minorHAnsi" w:eastAsia="Calibri" w:hAnsiTheme="minorHAnsi" w:cstheme="minorHAnsi"/>
                <w:sz w:val="22"/>
                <w:szCs w:val="22"/>
                <w:lang w:val="en-GB"/>
              </w:rPr>
              <w:t>is stabilizing</w:t>
            </w:r>
            <w:r w:rsidR="00230788" w:rsidRPr="00143CB6">
              <w:rPr>
                <w:rFonts w:asciiTheme="minorHAnsi" w:eastAsia="Calibri" w:hAnsiTheme="minorHAnsi" w:cstheme="minorHAnsi"/>
                <w:sz w:val="22"/>
                <w:szCs w:val="22"/>
                <w:lang w:val="en-GB"/>
              </w:rPr>
              <w:t xml:space="preserve"> in other OSPAR Regions</w:t>
            </w:r>
            <w:r w:rsidRPr="00143CB6">
              <w:rPr>
                <w:rFonts w:asciiTheme="minorHAnsi" w:eastAsia="Calibri" w:hAnsiTheme="minorHAnsi" w:cstheme="minorHAnsi"/>
                <w:sz w:val="22"/>
                <w:szCs w:val="22"/>
                <w:lang w:val="en-GB"/>
              </w:rPr>
              <w:t xml:space="preserve"> albeit at an historically low level.</w:t>
            </w:r>
          </w:p>
        </w:tc>
      </w:tr>
      <w:tr w:rsidR="0031651C" w:rsidRPr="00143CB6" w14:paraId="378EB294" w14:textId="77777777" w:rsidTr="10215BEE">
        <w:tc>
          <w:tcPr>
            <w:tcW w:w="2451" w:type="dxa"/>
          </w:tcPr>
          <w:p w14:paraId="7780C791"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Threats and impacts</w:t>
            </w:r>
          </w:p>
          <w:p w14:paraId="2275097A"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7EF95446"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Atlantic salmon are exposed to many threats during both freshwater and marine phases of their life cycle. </w:t>
            </w:r>
          </w:p>
          <w:p w14:paraId="3E230228" w14:textId="77777777" w:rsidR="0031651C" w:rsidRPr="00143CB6" w:rsidRDefault="0031651C" w:rsidP="0031651C">
            <w:pPr>
              <w:pStyle w:val="ListParagraph"/>
              <w:numPr>
                <w:ilvl w:val="0"/>
                <w:numId w:val="38"/>
              </w:numPr>
              <w:spacing w:after="120" w:line="360" w:lineRule="auto"/>
              <w:ind w:left="360"/>
              <w:rPr>
                <w:rFonts w:asciiTheme="minorHAnsi" w:hAnsiTheme="minorHAnsi" w:cstheme="minorHAnsi"/>
                <w:szCs w:val="22"/>
              </w:rPr>
            </w:pPr>
            <w:r w:rsidRPr="00143CB6">
              <w:rPr>
                <w:rFonts w:asciiTheme="minorHAnsi" w:hAnsiTheme="minorHAnsi" w:cstheme="minorHAnsi"/>
                <w:b/>
                <w:bCs/>
                <w:szCs w:val="22"/>
              </w:rPr>
              <w:t xml:space="preserve">Dams and navigation weirs </w:t>
            </w:r>
          </w:p>
          <w:p w14:paraId="601694C4" w14:textId="77777777" w:rsidR="0031651C" w:rsidRPr="00143CB6" w:rsidRDefault="0031651C" w:rsidP="00437F65">
            <w:pPr>
              <w:pStyle w:val="ListParagraph"/>
              <w:spacing w:after="120"/>
              <w:ind w:left="360"/>
              <w:rPr>
                <w:rFonts w:asciiTheme="minorHAnsi" w:hAnsiTheme="minorHAnsi" w:cstheme="minorHAnsi"/>
                <w:szCs w:val="22"/>
              </w:rPr>
            </w:pPr>
            <w:r w:rsidRPr="00143CB6">
              <w:rPr>
                <w:rFonts w:asciiTheme="minorHAnsi" w:hAnsiTheme="minorHAnsi" w:cstheme="minorHAnsi"/>
                <w:noProof/>
                <w:szCs w:val="22"/>
                <w:lang w:eastAsia="fr-FR"/>
              </w:rPr>
              <w:drawing>
                <wp:inline distT="0" distB="0" distL="0" distR="0" wp14:anchorId="22B6DFA3" wp14:editId="5CAE2424">
                  <wp:extent cx="4159751" cy="4094142"/>
                  <wp:effectExtent l="0" t="0" r="0" b="190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59751" cy="4094142"/>
                          </a:xfrm>
                          <a:prstGeom prst="rect">
                            <a:avLst/>
                          </a:prstGeom>
                          <a:noFill/>
                        </pic:spPr>
                      </pic:pic>
                    </a:graphicData>
                  </a:graphic>
                </wp:inline>
              </w:drawing>
            </w:r>
          </w:p>
          <w:p w14:paraId="5D56140B" w14:textId="77777777" w:rsidR="0031651C" w:rsidRPr="00143CB6" w:rsidRDefault="0031651C" w:rsidP="00437F65">
            <w:pPr>
              <w:pStyle w:val="Caption"/>
              <w:ind w:left="550"/>
              <w:rPr>
                <w:rFonts w:cstheme="minorHAnsi"/>
                <w:sz w:val="22"/>
                <w:szCs w:val="22"/>
                <w:lang w:val="en-GB"/>
              </w:rPr>
            </w:pPr>
            <w:r w:rsidRPr="00143CB6">
              <w:rPr>
                <w:rFonts w:cstheme="minorHAnsi"/>
                <w:sz w:val="22"/>
                <w:szCs w:val="22"/>
                <w:lang w:val="en-GB"/>
              </w:rPr>
              <w:t>Figure 5: Extent of river fragmentation in Europe. The map shows the barrier</w:t>
            </w:r>
          </w:p>
          <w:p w14:paraId="4A4BD8F7" w14:textId="77777777" w:rsidR="0031651C" w:rsidRPr="00143CB6" w:rsidRDefault="0031651C" w:rsidP="00437F65">
            <w:pPr>
              <w:pStyle w:val="Caption"/>
              <w:ind w:left="550"/>
              <w:rPr>
                <w:rFonts w:cstheme="minorHAnsi"/>
                <w:sz w:val="22"/>
                <w:szCs w:val="22"/>
                <w:lang w:val="en-GB"/>
              </w:rPr>
            </w:pPr>
            <w:r w:rsidRPr="00143CB6">
              <w:rPr>
                <w:rFonts w:cstheme="minorHAnsi"/>
                <w:sz w:val="22"/>
                <w:szCs w:val="22"/>
                <w:lang w:val="en-GB"/>
              </w:rPr>
              <w:t xml:space="preserve">density (barrier/km) in sub-catchments across Europe based on barrier modelling </w:t>
            </w:r>
            <w:r w:rsidRPr="00143CB6">
              <w:rPr>
                <w:rFonts w:cstheme="minorHAnsi"/>
                <w:sz w:val="22"/>
                <w:szCs w:val="22"/>
                <w:lang w:val="en-GB"/>
              </w:rPr>
              <w:fldChar w:fldCharType="begin"/>
            </w:r>
            <w:r w:rsidRPr="00143CB6">
              <w:rPr>
                <w:rFonts w:cstheme="minorHAnsi"/>
                <w:sz w:val="22"/>
                <w:szCs w:val="22"/>
                <w:lang w:val="en-GB"/>
              </w:rPr>
              <w:instrText xml:space="preserve"> ADDIN ZOTERO_ITEM CSL_CITATION {"citationID":"p44WIBZm","properties":{"formattedCitation":"(Belletti et al., 2020)","plainCitation":"(Belletti et al., 2020)","noteIndex":0},"citationItems":[{"id":"HFN45aOe/DGbik2Az","uris":["http://zotero.org/users/local/6PJuduYe/items/37MXFCN5"],"uri":["http://zotero.org/users/local/6PJuduYe/items/37MXFCN5"],"itemData":{"id":536,"type":"article-journal","abstract":"Rivers support some of Earth’s richest biodiversity1 and provide essential ecosystem services to society2, but they are often fragmented by barriers to free flow3. In Europe, attempts to quantify river connectivity have been hampered by the absence of a harmonized barrier database. Here we show that there are at least 1.2 million instream barriers in 36 European countries (with a mean density of 0.74 barriers per kilometre), 68 per cent of which are structures less than two metres in height that are often overlooked. Standardized walkover surveys along 2,715 kilometres of stream length for 147 rivers indicate that existing records underestimate barrier numbers by about 61 per cent. The highest barrier densities occur in the heavily modified rivers of central Europe and the lowest barrier densities occur in the most remote, sparsely populated alpine areas. Across Europe, the main predictors of barrier density are agricultural pressure, density of river-road crossings, extent of surface water and elevation. Relatively unfragmented rivers are still found in the Balkans, the Baltic states and parts of Scandinavia and southern Europe, but these require urgent protection from proposed dam developments. Our findings could inform the implementation of the EU Biodiversity Strategy, which aims to reconnect 25,000 kilometres of Europe’s rivers by 2030, but achieving this will require a paradigm shift in river restoration that recognizes the widespread impacts caused by small barriers.","container-title":"Nature","DOI":"10.1038/s41586-020-3005-2","ISSN":"1476-4687","issue":"7838","language":"en","note":"Bandiera_abtest: a\nCg_type: Nature Research Journals\nnumber: 7838\nPrimary_atype: Research\npublisher: Nature Publishing Group\nSubject_term: Conservation biology;Hydrology;Water resources\nSubject_term_id: conservation;hydrology;water-resources","page":"436-441","source":"www.nature.com","title":"More than one million barriers fragment Europe’s rivers","volume":"588","author":[{"family":"Belletti","given":"Barbara"},{"family":"Garcia de Leaniz","given":"Carlos"},{"family":"Jones","given":"Joshua"},{"family":"Bizzi","given":"Simone"},{"family":"Börger","given":"Luca"},{"family":"Segura","given":"Gilles"},{"family":"Castelletti","given":"Andrea"},{"family":"Bund","given":"Wouter","non-dropping-particle":"van de"},{"family":"Aarestrup","given":"Kim"},{"family":"Barry","given":"James"},{"family":"Belka","given":"Kamila"},{"family":"Berkhuysen","given":"Arjan"},{"family":"Birnie-Gauvin","given":"Kim"},{"family":"Bussettini","given":"Martina"},{"family":"Carolli","given":"Mauro"},{"family":"Consuegra","given":"Sofia"},{"family":"Dopico","given":"Eduardo"},{"family":"Feierfeil","given":"Tim"},{"family":"Fernández","given":"Sara"},{"family":"Fernandez Garrido","given":"Pao"},{"family":"Garcia-Vazquez","given":"Eva"},{"family":"Garrido","given":"Sara"},{"family":"Giannico","given":"Guillermo"},{"family":"Gough","given":"Peter"},{"family":"Jepsen","given":"Niels"},{"family":"Jones","given":"Peter E."},{"family":"Kemp","given":"Paul"},{"family":"Kerr","given":"Jim"},{"family":"King","given":"James"},{"family":"Łapińska","given":"Małgorzata"},{"family":"Lázaro","given":"Gloria"},{"family":"Lucas","given":"Martyn C."},{"family":"Marcello","given":"Lucio"},{"family":"Martin","given":"Patrick"},{"family":"McGinnity","given":"Phillip"},{"family":"O’Hanley","given":"Jesse"},{"family":"Olivo del Amo","given":"Rosa"},{"family":"Parasiewicz","given":"Piotr"},{"family":"Pusch","given":"Martin"},{"family":"Rincon","given":"Gonzalo"},{"family":"Rodriguez","given":"Cesar"},{"family":"Royte","given":"Joshua"},{"family":"Schneider","given":"Claus Till"},{"family":"Tummers","given":"Jeroen S."},{"family":"Vallesi","given":"Sergio"},{"family":"Vowles","given":"Andrew"},{"family":"Verspoor","given":"Eric"},{"family":"Wanningen","given":"Herman"},{"family":"Wantzen","given":"Karl M."},{"family":"Wildman","given":"Laura"},{"family":"Zalewski","given":"Maciej"}],"issued":{"date-parts":[["2020",12]]}}}],"schema":"https://github.com/citation-style-language/schema/raw/master/csl-citation.json"} </w:instrText>
            </w:r>
            <w:r w:rsidRPr="00143CB6">
              <w:rPr>
                <w:rFonts w:cstheme="minorHAnsi"/>
                <w:sz w:val="22"/>
                <w:szCs w:val="22"/>
                <w:lang w:val="en-GB"/>
              </w:rPr>
              <w:fldChar w:fldCharType="separate"/>
            </w:r>
            <w:r w:rsidRPr="00143CB6">
              <w:rPr>
                <w:rFonts w:cstheme="minorHAnsi"/>
                <w:sz w:val="22"/>
                <w:szCs w:val="22"/>
                <w:lang w:val="en-GB"/>
              </w:rPr>
              <w:t>(Belletti et al., 2020)</w:t>
            </w:r>
            <w:r w:rsidRPr="00143CB6">
              <w:rPr>
                <w:rFonts w:cstheme="minorHAnsi"/>
                <w:sz w:val="22"/>
                <w:szCs w:val="22"/>
                <w:lang w:val="en-GB"/>
              </w:rPr>
              <w:fldChar w:fldCharType="end"/>
            </w:r>
          </w:p>
          <w:p w14:paraId="5ACF55F1" w14:textId="77777777" w:rsidR="0031651C" w:rsidRPr="00143CB6" w:rsidRDefault="0031651C" w:rsidP="00437F65">
            <w:pPr>
              <w:rPr>
                <w:rFonts w:asciiTheme="minorHAnsi" w:hAnsiTheme="minorHAnsi" w:cstheme="minorHAnsi"/>
                <w:sz w:val="22"/>
                <w:szCs w:val="22"/>
                <w:lang w:val="en-GB"/>
              </w:rPr>
            </w:pPr>
          </w:p>
          <w:p w14:paraId="5F20F310" w14:textId="77777777" w:rsidR="0031651C" w:rsidRPr="00143CB6" w:rsidRDefault="0031651C" w:rsidP="00437F65">
            <w:pPr>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European rivers are densely fragmented by many barriers and dams, with 60% considered not free from barriers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{"citationID":"R9t1cKQh","properties":{"formattedCitation":"(Grill et al., 2019)","plainCitation":"(Grill et al., 2019)","noteIndex":0},"citationItems":[{"id":"HFN45aOe/7i3tmlBW","uris":["http://zotero.org/users/local/6PJuduYe/items/PTIUKSND"],"uri":["http://zotero.org/users/local/6PJuduYe/items/PTIUKSND"],"itemData":{"id":477,"type":"article-journal","abstract":"Free-flowing rivers (FFRs) support diverse, complex and dynamic ecosystems globally, providing important societal and economic services. Infrastructure development threatens the ecosystem processes, biodiversity and services that these rivers support. Here we assess the connectivity status of 12 million kilometres of rivers globally and identify those that remain free-flowing in their entire length. Only 37 per cent of rivers longer than 1,000 kilometres remain free-flowing over their entire length and 23 per cent flow uninterrupted to the ocean. Very long FFRs are largely restricted to remote regions of the Arctic and of the Amazon and Congo basins. In densely populated areas only few very long rivers remain free-flowing, such as the Irrawaddy and Salween. Dams and reservoirs and their up- and downstream propagation of fragmentation and flow regulation are the leading contributors to the loss of river connectivity. By applying a new method to quantify riverine connectivity and map FFRs, we provide a foundation for concerted global and national strategies to maintain or restore them.","container-title":"Nature","DOI":"10.1038/s41586-019-1111-9","ISSN":"1476-4687","issue":"7755","language":"en","note":"Bandiera_abtest: a\nCg_type: Nature Research Journals\nnumber: 7755\nPrimary_atype: Research\npublisher: Nature Publishing Group\nSubject_term: Ecological modelling;Freshwater ecology;Hydrology\nSubject_term_id: ecological-modelling;freshwater-ecology;hydrology","page":"215-221","source":"www.nature.com","title":"Mapping the world’s free-flowing rivers","volume":"569","author":[{"family":"Grill","given":"G."},{"family":"Lehner","given":"B."},{"family":"Thieme","given":"M."},{"family":"Geenen","given":"B."},{"family":"Tickner","given":"D."},{"family":"Antonelli","given":"F."},{"family":"Babu","given":"S."},{"family":"Borrelli","given":"P."},{"family":"Cheng","given":"L."},{"family":"Crochetiere","given":"H."},{"family":"Ehalt Macedo","given":"H."},{"family":"Filgueiras","given":"R."},{"family":"Goichot","given":"M."},{"family":"Higgins","given":"J."},{"family":"Hogan","given":"Z."},{"family":"Lip","given":"B."},{"family":"McClain","given":"M. E."},{"family":"Meng","given":"J."},{"family":"Mulligan","given":"M."},{"family":"Nilsson","given":"C."},{"family":"Olden","given":"J. D."},{"family":"Opperman","given":"J. J."},{"family":"Petry","given":"P."},{"family":"Reidy Liermann","given":"C."},{"family":"Sáenz","given":"L."},{"family":"Salinas-Rodríguez","given":"S."},{"family":"Schelle","given":"P."},{"family":"Schmitt","given":"R. J. P."},{"family":"Snider","given":"J."},{"family":"Tan","given":"F."},{"family":"Tockner","given":"K."},{"family":"Valdujo","given":"P. H."},{"family":"Soesbergen","given":"A.","non-dropping-particle":"van"},{"family":"Zarfl","given":"C."}],"issued":{"date-parts":[["2019",5]]}}}],"schema":"https://github.com/citation-style-language/schema/raw/master/csl-citation.json"}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(Grill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and with the highest barrier densities found in Central Europe and the lowest in the most remote sparsely populated upland areas (</w:t>
            </w:r>
            <w:r w:rsidRPr="00143CB6">
              <w:rPr>
                <w:rFonts w:asciiTheme="minorHAnsi" w:hAnsiTheme="minorHAnsi" w:cstheme="minorHAnsi"/>
                <w:i/>
                <w:iCs/>
                <w:sz w:val="22"/>
                <w:szCs w:val="22"/>
                <w:lang w:val="en-GB"/>
              </w:rPr>
              <w:t>e.g.</w:t>
            </w:r>
            <w:r w:rsidRPr="00143CB6">
              <w:rPr>
                <w:rFonts w:asciiTheme="minorHAnsi" w:hAnsiTheme="minorHAnsi" w:cstheme="minorHAnsi"/>
                <w:sz w:val="22"/>
                <w:szCs w:val="22"/>
                <w:lang w:val="en-GB"/>
              </w:rPr>
              <w:t xml:space="preserve"> Scandinavia and Scotland)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{"citationID":"gltcZUrO","properties":{"formattedCitation":"(Belletti et al., 2020)","plainCitation":"(Belletti et al., 2020)","noteIndex":0},"citationItems":[{"id":"HFN45aOe/DGbik2Az","uris":["http://zotero.org/users/local/6PJuduYe/items/37MXFCN5"],"uri":["http://zotero.org/users/local/6PJuduYe/items/37MXFCN5"],"itemData":{"id":536,"type":"article-journal","abstract":"Rivers support some of Earth’s richest biodiversity1 and provide essential ecosystem services to society2, but they are often fragmented by barriers to free flow3. In Europe, attempts to quantify river connectivity have been hampered by the absence of a harmonized barrier database. Here we show that there are at least 1.2 million instream barriers in 36 European countries (with a mean density of 0.74 barriers per kilometre), 68 per cent of which are structures less than two metres in height that are often overlooked. Standardized walkover surveys along 2,715 kilometres of stream length for 147 rivers indicate that existing records underestimate barrier numbers by about 61 per cent. The highest barrier densities occur in the heavily modified rivers of central Europe and the lowest barrier densities occur in the most remote, sparsely populated alpine areas. Across Europe, the main predictors of barrier density are agricultural pressure, density of river-road crossings, extent of surface water and elevation. Relatively unfragmented rivers are still found in the Balkans, the Baltic states and parts of Scandinavia and southern Europe, but these require urgent protection from proposed dam developments. Our findings could inform the implementation of the EU Biodiversity Strategy, which aims to reconnect 25,000 kilometres of Europe’s rivers by 2030, but achieving this will require a paradigm shift in river restoration that recognizes the widespread impacts caused by small barriers.","container-title":"Nature","DOI":"10.1038/s41586-020-3005-2","ISSN":"1476-4687","issue":"7838","language":"en","note":"Bandiera_abtest: a\nCg_type: Nature Research Journals\nnumber: 7838\nPrimary_atype: Research\npublisher: Nature Publishing Group\nSubject_term: Conservation biology;Hydrology;Water resources\nSubject_term_id: conservation;hydrology;water-resources","page":"436-441","source":"www.nature.com","title":"More than one million barriers fragment Europe’s rivers","volume":"588","author":[{"family":"Belletti","given":"Barbara"},{"family":"Garcia de Leaniz","given":"Carlos"},{"family":"Jones","given":"Joshua"},{"family":"Bizzi","given":"Simone"},{"family":"Börger","given":"Luca"},{"family":"Segura","given":"Gilles"},{"family":"Castelletti","given":"Andrea"},{"family":"Bund","given":"Wouter","non-dropping-particle":"van de"},{"family":"Aarestrup","given":"Kim"},{"family":"Barry","given":"James"},{"family":"Belka","given":"Kamila"},{"family":"Berkhuysen","given":"Arjan"},{"family":"Birnie-Gauvin","given":"Kim"},{"family":"Bussettini","given":"Martina"},{"family":"Carolli","given":"Mauro"},{"family":"Consuegra","given":"Sofia"},{"family":"Dopico","given":"Eduardo"},{"family":"Feierfeil","given":"Tim"},{"family":"Fernández","given":"Sara"},{"family":"Fernandez Garrido","given":"Pao"},{"family":"Garcia-Vazquez","given":"Eva"},{"family":"Garrido","given":"Sara"},{"family":"Giannico","given":"Guillermo"},{"family":"Gough","given":"Peter"},{"family":"Jepsen","given":"Niels"},{"family":"Jones","given":"Peter E."},{"family":"Kemp","given":"Paul"},{"family":"Kerr","given":"Jim"},{"family":"King","given":"James"},{"family":"Łapińska","given":"Małgorzata"},{"family":"Lázaro","given":"Gloria"},{"family":"Lucas","given":"Martyn C."},{"family":"Marcello","given":"Lucio"},{"family":"Martin","given":"Patrick"},{"family":"McGinnity","given":"Phillip"},{"family":"O’Hanley","given":"Jesse"},{"family":"Olivo del Amo","given":"Rosa"},{"family":"Parasiewicz","given":"Piotr"},{"family":"Pusch","given":"Martin"},{"family":"Rincon","given":"Gonzalo"},{"family":"Rodriguez","given":"Cesar"},{"family":"Royte","given":"Joshua"},{"family":"Schneider","given":"Claus Till"},{"family":"Tummers","given":"Jeroen S."},{"family":"Vallesi","given":"Sergio"},{"family":"Vowles","given":"Andrew"},{"family":"Verspoor","given":"Eric"},{"family":"Wanningen","given":"Herman"},{"family":"Wantzen","given":"Karl M."},{"family":"Wildman","given":"Laura"},{"family":"Zalewski","given":"Maciej"}],"issued":{"date-parts":[["2020",12]]}}}],"schema":"https://github.com/citation-style-language/schema/raw/master/csl-citation.json"}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(Belletti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2020)</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This fragmentation greatly affects the lateral connectivity of rivers and both upstream and downstream migration of Atlantic salmon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{"citationID":"WEcImQ0u","properties":{"formattedCitation":"(Havn et al., 2020)","plainCitation":"(Havn et al., 2020)","noteIndex":0},"citationItems":[{"id":18683,"uris":["http://zotero.org/users/1945633/items/F7F4BC2N"],"uri":["http://zotero.org/users/1945633/items/F7F4BC2N"],"itemData":{"id":18683,"type":"article-journal","abstract":"Weirs are barriers built across rivers for a wide range of other purposes than hydropower production. Like hydropower installations, weirs can negatively impact fish migrations. Downstream migration and mortality of Atlantic salmon smolts were studied during passage of a weir and power station by tagging 227 smolts with radio transmitters. Extra loss of smolts due to the weir and adjacent reservoir was 5.2%. Mortality was likely related to physical damage imposed to the smolts and/or increased predation risk. Extra loss of smolts did not differ between the weir and the power station (7.2%). Migration speeds were reduced at the power station but not at the weir. We conclude that mortality at one power station site may differ considerably among years, because the mortality was more than four times higher in a previous year than in this study. Increased river discharge seemed to decrease mortality and increase migration speeds at the power station.","container-title":"River Research and Applications","DOI":"10.1002/rra.3590","ISSN":"1535-1459, 1535-1467","issue":"5","journalAbbreviation":"River Res Applic","language":"en","page":"784-796","source":"DOI.org (Crossref)","title":"Impacts of a weir and power station on downstream migrating Atlantic salmon smolts in a German river","volume":"36","author":[{"family":"Havn","given":"Torgeir B."},{"family":"Thorstad","given":"Eva B."},{"family":"Borcherding","given":"Jost"},{"family":"Heermann","given":"Lisa"},{"family":"Teichert","given":"Maxim A. K."},{"family":"Ingendahl","given":"Detlev"},{"family":"Tambets","given":"Meelis"},{"family":"Sæther","given":"Stein Are"},{"family":"Økland","given":"Finn"}],"issued":{"date-parts":[["2020",6]]}}}],"schema":"https://github.com/citation-style-language/schema/raw/master/csl-citation.json"}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(Havn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2020)</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While this situation remained relatively constant in most OSPAR regions over the last ten years, recent dam removal programs have reduced the threat in France (</w:t>
            </w:r>
            <w:r w:rsidRPr="00143CB6">
              <w:rPr>
                <w:rFonts w:asciiTheme="minorHAnsi" w:hAnsiTheme="minorHAnsi" w:cstheme="minorHAnsi"/>
                <w:i/>
                <w:iCs/>
                <w:sz w:val="22"/>
                <w:szCs w:val="22"/>
                <w:lang w:val="en-GB"/>
              </w:rPr>
              <w:t>e.g.</w:t>
            </w:r>
            <w:r w:rsidRPr="00143CB6">
              <w:rPr>
                <w:rFonts w:asciiTheme="minorHAnsi" w:hAnsiTheme="minorHAnsi" w:cstheme="minorHAnsi"/>
                <w:sz w:val="22"/>
                <w:szCs w:val="22"/>
                <w:lang w:val="en-GB"/>
              </w:rPr>
              <w:t xml:space="preserve"> at Selune river since 2012) and UK (e.g. for Scotland, 92/43/EEC Scotland report 2019; and for England and Wales, NASCO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{"citationID":"Y9jdh02n","properties":{"formattedCitation":"(2017, 2020a)","plainCitation":"(2017, 2020a)","noteIndex":0},"citationItems":[{"id":18671,"uris":["http://zotero.org/users/1945633/items/4Q24HSJW"],"uri":["http://zotero.org/users/1945633/items/4Q24HSJW"],"itemData":{"id":18671,"type":"report","page":"28 p.","title":"Annual Progress Report on Actions Taken Under the Implementation Plan for the Calendar Year 2016 EU-UK (England and Wales) (revised 28 April 2017 with updated estimate of unreported catch)","URL":"https://nasco.int/wp-content/uploads/2020/02/CNL_17_31rev_APR_EU_UK_EnglandandWales.pdf","author":[{"family":"NASCO","given":""}],"accessed":{"date-parts":[["2022",1,19]]},"issued":{"date-parts":[["2017"]]}},"label":"page","suppress-author":true},{"id":18673,"uris":["http://zotero.org/users/1945633/items/TJ6IB7C5"],"uri":["http://zotero.org/users/1945633/items/TJ6IB7C5"],"itemData":{"id":18673,"type":"report","page":"30 p.","title":"Annual Progress Report on Actions Taken Under the Implementation Plan for the Calendar Year 2020 - UK-England and Wales","URL":"https://nasco.int/wp-content/uploads/2021/04/CNL2129_Annual-Progress-Report_UK-England-and-Wales.pdf","author":[{"family":"NASCO","given":""}],"accessed":{"date-parts":[["2022",1,19]]},"issued":{"date-parts":[["2020"]]}},"label":"page","suppress-author":true}],"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(2017, 2020a)</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{"citationID":"bV9BRSxO","properties":{"formattedCitation":"(Buddendorf et al., 2019b; Malcolm et al., 2019b)","plainCitation":"(Buddendorf et al., 2019b; Malcolm et al., 2019b)","noteIndex":0},"citationItems":[{"id":"HFN45aOe/S88DtRnh","uris":["http://zotero.org/users/local/6PJuduYe/items/7PBS3KWK"],"uri":["http://zotero.org/users/local/6PJuduYe/items/7PBS3KWK"],"itemData":{"id":449,"type":"article-journal","abstract":"Diadromous fish populations are strongly affected by in-stream barriers that cause river network fragmentation, constraining productivity or preventing completion of their lifecycle. Removal or reduction of barrier impacts is a restoration measure associated with unambiguous benefits. Management of barriers is therefore often prioritised above other restoration actions. Barrier management is prioritised at local and national scales depending on funding. However, barrier prioritisation is potentially sub-optimal because existing tools do not consider habitat quality. Furthermore, effects of partial barriers (those passable under certain conditions) are uncertain, depending on location and potential cumulative effects. A framework is presented for assessing effects of impassable manmade barriers (IMBs) on longitudinal river network connectivity (percentage of upstream habitat accessible from the river mouth) for Atlantic salmon across spatial scales, using Scotland as an example. The framework integrates juvenile habitat quality and network connectivity models to (1) provide information necessary for local and national prioritisation of barriers, and (2) assess potential effects of passable manmade barriers (PMBs) within a sensitivity framework. If only IMBs are considered, high levels of longitudinal connectivity are observed across most of Scotland's rivers. Barrier prioritisation is sensitive to habitat weighting: not accounting for habitat quality can lead to over- or underestimating the importance of IMBs. Prioritisation is also highly sensitive to the passability of PMBs: if passability drops to &lt;97% (combined up- and downstream passability), the mean effect of PMBs becomes greater than IMBs at the national level. Moreover, impacts on catchment connectivity, and thus production (number of juvenile salmon produced by the river), could be severe, suggesting a better understanding of the passability of PMBs is important for future management of migration barriers. The presented framework can be transferred to other catchments, regions, or countries where necessary data are available, making it a valuable tool to the broader restoration community.","container-title":"Science of The Total Environment","DOI":"10.1016/j.scitotenv.2018.11.263","ISSN":"0048-9697","journalAbbreviation":"Science of The Total Environment","language":"en","page":"557-566","source":"ScienceDirect","title":"Integration of juvenile habitat quality and river connectivity models to understand and prioritise the management of barriers for Atlantic salmon populations across spatial scales","volume":"655","author":[{"family":"Buddendorf","given":"Willem B."},{"family":"Jackson","given":"Faye L."},{"family":"Malcolm","given":"Iain A."},{"family":"Millidine","given":"Karen J."},{"family":"Geris","given":"Josie"},{"family":"Wilkinson","given":"Mark E."},{"family":"Soulsby","given":"Chris"}],"issued":{"date-parts":[["2019",3,10]]}}},{"id":"HFN45aOe/W0WDzEQd","uris":["http://zotero.org/users/local/6PJuduYe/items/7G85DCB8"],"uri":["http://zotero.org/users/local/6PJuduYe/items/7G85DCB8"],"itemData":{"id":448,"type":"article-journal","abstract":"Electrofishing data are commonly collected to assess the status of salmonid populations. However, their interpretation can be challenging without a benchmark measure of abundance against which they can be compared, leading some practitioners to question the value of these data. Juvenile density models that relate salmonid abundance to habitat characteristics offer one approach for developing spatially explicit benchmark abundances. This study collated and analysed an electrofishing dataset for Atlantic salmon (Salmo salar) collected across Scotland between 1997 and 2015. Habitat was characterised using landscape proxies, derived from large scale spatial datasets. A two stage modelling approach related (1) capture probability to landscape and other covariates (2) fish density to landscape and other covariates, having adjusted for differences in capture probability. Capture probability varied with monitoring organisation, year and region, responded modally to day of the year, and decreased with upstream catchment area, river distance to sea and gradient. Salmon density increased non-linearly with upstream catchment area and river distance to sea and decreased with the percentage of the riparian zone containing conifer trees. There was a south-north gradient in density, with higher densities in the north. The density model was used to develop benchmark salmon densities (reference conditions) that would be expected in river catchments that are relatively un-impacted by anthropogenic pressures and are associated with high spawner densities, resulting in near-saturation of available freshwater habitat. The benchmark densities were based on the fixed effects from the density model, excluding the effects of riparian conifer woodland and the south-north gradient, adjusted for the site-wise mean observed density in the dataset. Comparing catchment scale predictions of juvenile production against this benchmark (or some percentage of it) could provide a valuable assessment tool.","container-title":"Ecological Indicators","DOI":"10.1016/j.ecolind.2018.09.005","ISSN":"1470-160X","journalAbbreviation":"Ecological Indicators","language":"en","page":"303-316","source":"ScienceDirect","title":"Development of a large-scale juvenile density model to inform the assessment and management of Atlantic salmon (Salmo salar) populations in Scotland","volume":"96","author":[{"family":"Malcolm","given":"Iain A."},{"family":"Millidine","given":"Karen J."},{"family":"Glover","given":"Ross S."},{"family":"Jackson","given":"Faye L."},{"family":"Millar","given":"Colin P."},{"family":"Fryer","given":"Robert J."}],"issued":{"date-parts":[["2019",1,1]]}}}],"schema":"https://github.com/citation-style-language/schema/raw/master/csl-citation.json"}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Buddendorf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2019; Malcolm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2019).</w:t>
            </w:r>
            <w:r w:rsidRPr="00143CB6" w:rsidDel="00EE005B">
              <w:rPr>
                <w:rFonts w:asciiTheme="minorHAnsi" w:hAnsiTheme="minorHAnsi" w:cstheme="minorHAnsi"/>
                <w:sz w:val="22"/>
                <w:szCs w:val="22"/>
                <w:lang w:val="en-GB"/>
              </w:rPr>
              <w:t xml:space="preserve"> </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w:t>
            </w:r>
          </w:p>
          <w:p w14:paraId="0E1997F7" w14:textId="77777777" w:rsidR="0031651C" w:rsidRPr="00143CB6" w:rsidRDefault="0031651C" w:rsidP="0031651C">
            <w:pPr>
              <w:pStyle w:val="ListParagraph"/>
              <w:numPr>
                <w:ilvl w:val="0"/>
                <w:numId w:val="38"/>
              </w:numPr>
              <w:spacing w:after="120" w:line="360" w:lineRule="auto"/>
              <w:ind w:left="408" w:hanging="408"/>
              <w:rPr>
                <w:rFonts w:asciiTheme="minorHAnsi" w:hAnsiTheme="minorHAnsi" w:cstheme="minorHAnsi"/>
                <w:szCs w:val="22"/>
              </w:rPr>
            </w:pPr>
            <w:r w:rsidRPr="00143CB6">
              <w:rPr>
                <w:rFonts w:asciiTheme="minorHAnsi" w:hAnsiTheme="minorHAnsi" w:cstheme="minorHAnsi"/>
                <w:b/>
                <w:bCs/>
                <w:szCs w:val="22"/>
              </w:rPr>
              <w:t>Water pollution (sewage, pesticides/herbicides, heavy metal contamination, hormones, eutrophication)</w:t>
            </w:r>
          </w:p>
          <w:p w14:paraId="06E78878" w14:textId="7F6EB5AF" w:rsidR="0031651C" w:rsidRPr="00143CB6" w:rsidRDefault="0031651C" w:rsidP="00437F65">
            <w:pPr>
              <w:pStyle w:val="ListParagraph"/>
              <w:spacing w:after="120"/>
              <w:ind w:left="408"/>
              <w:rPr>
                <w:rFonts w:asciiTheme="minorHAnsi" w:hAnsiTheme="minorHAnsi" w:cstheme="minorHAnsi"/>
                <w:szCs w:val="22"/>
              </w:rPr>
            </w:pPr>
            <w:r w:rsidRPr="00143CB6">
              <w:rPr>
                <w:rFonts w:asciiTheme="minorHAnsi" w:hAnsiTheme="minorHAnsi" w:cstheme="minorHAnsi"/>
                <w:iCs/>
                <w:color w:val="000000" w:themeColor="text1"/>
                <w:szCs w:val="22"/>
              </w:rPr>
              <w:t xml:space="preserve">Poor water quality is a threat for the species. </w:t>
            </w:r>
            <w:r w:rsidRPr="00143CB6">
              <w:rPr>
                <w:rFonts w:asciiTheme="minorHAnsi" w:eastAsia="Calibri" w:hAnsiTheme="minorHAnsi" w:cstheme="minorHAnsi"/>
                <w:szCs w:val="22"/>
              </w:rPr>
              <w:t>In 2018, a total of 38% of surface water bodies were considered in good chemical status in the EU (</w:t>
            </w:r>
            <w:r w:rsidRPr="00143CB6">
              <w:rPr>
                <w:rStyle w:val="normaltextrun"/>
                <w:rFonts w:asciiTheme="minorHAnsi" w:hAnsiTheme="minorHAnsi" w:cstheme="minorHAnsi"/>
                <w:i/>
                <w:iCs/>
                <w:color w:val="000000" w:themeColor="text1"/>
                <w:szCs w:val="22"/>
              </w:rPr>
              <w:t>source:</w:t>
            </w:r>
            <w:r w:rsidRPr="00143CB6">
              <w:rPr>
                <w:rStyle w:val="normaltextrun"/>
                <w:rFonts w:asciiTheme="minorHAnsi" w:hAnsiTheme="minorHAnsi" w:cstheme="minorHAnsi"/>
                <w:i/>
                <w:iCs/>
                <w:color w:val="D13438"/>
                <w:szCs w:val="22"/>
              </w:rPr>
              <w:t xml:space="preserve"> </w:t>
            </w:r>
            <w:hyperlink r:id="rId27" w:history="1">
              <w:r w:rsidR="009D7589" w:rsidRPr="00414B4F">
                <w:rPr>
                  <w:rStyle w:val="Hyperlink"/>
                  <w:rFonts w:asciiTheme="minorHAnsi" w:hAnsiTheme="minorHAnsi" w:cstheme="minorHAnsi"/>
                  <w:szCs w:val="22"/>
                </w:rPr>
                <w:t>https://water.europa.eu/freshwater/data-maps-and-tools/water-framework-directive-surface-water-data-products/surface-water-chemical-status</w:t>
              </w:r>
            </w:hyperlink>
            <w:r w:rsidR="009D7589">
              <w:rPr>
                <w:rStyle w:val="normaltextrun"/>
                <w:rFonts w:asciiTheme="minorHAnsi" w:hAnsiTheme="minorHAnsi" w:cstheme="minorHAnsi"/>
                <w:color w:val="000000" w:themeColor="text1"/>
                <w:szCs w:val="22"/>
              </w:rPr>
              <w:t xml:space="preserve"> </w:t>
            </w:r>
            <w:r w:rsidRPr="009D7589">
              <w:rPr>
                <w:rStyle w:val="normaltextrun"/>
                <w:rFonts w:asciiTheme="minorHAnsi" w:hAnsiTheme="minorHAnsi" w:cstheme="minorHAnsi"/>
                <w:color w:val="000000" w:themeColor="text1"/>
                <w:szCs w:val="22"/>
              </w:rPr>
              <w:t xml:space="preserve">). </w:t>
            </w:r>
            <w:r w:rsidRPr="00143CB6">
              <w:rPr>
                <w:rFonts w:asciiTheme="minorHAnsi" w:hAnsiTheme="minorHAnsi" w:cstheme="minorHAnsi"/>
                <w:szCs w:val="22"/>
              </w:rPr>
              <w:t xml:space="preserve">Surface water bodies in north-eastern Europe (e.g. France, </w:t>
            </w:r>
            <w:r w:rsidRPr="00143CB6">
              <w:rPr>
                <w:rFonts w:asciiTheme="minorHAnsi" w:eastAsia="Calibri" w:hAnsiTheme="minorHAnsi" w:cstheme="minorHAnsi"/>
                <w:szCs w:val="22"/>
              </w:rPr>
              <w:t>Belgium, Germany, The Netherlands, Sweden</w:t>
            </w:r>
            <w:r w:rsidRPr="00143CB6">
              <w:rPr>
                <w:rFonts w:asciiTheme="minorHAnsi" w:hAnsiTheme="minorHAnsi" w:cstheme="minorHAnsi"/>
                <w:szCs w:val="22"/>
              </w:rPr>
              <w:t xml:space="preserve">) have very low </w:t>
            </w:r>
            <w:r w:rsidRPr="00143CB6">
              <w:rPr>
                <w:rFonts w:asciiTheme="minorHAnsi" w:eastAsia="Calibri" w:hAnsiTheme="minorHAnsi" w:cstheme="minorHAnsi"/>
                <w:szCs w:val="22"/>
              </w:rPr>
              <w:t>chemical status with more than 60% of their surface waters reported to be less than good. UK, western and southern parts of France, Spain and Portugal</w:t>
            </w:r>
            <w:r w:rsidRPr="00143CB6">
              <w:rPr>
                <w:rFonts w:asciiTheme="minorHAnsi" w:hAnsiTheme="minorHAnsi" w:cstheme="minorHAnsi"/>
                <w:szCs w:val="22"/>
              </w:rPr>
              <w:t xml:space="preserve"> have a high proportion of water bodies with good chemical status. However, for the last decade, there was no significant trend in this threat status for all OSPAR </w:t>
            </w:r>
            <w:r w:rsidR="00757F9B">
              <w:rPr>
                <w:rFonts w:asciiTheme="minorHAnsi" w:hAnsiTheme="minorHAnsi" w:cstheme="minorHAnsi"/>
                <w:szCs w:val="22"/>
              </w:rPr>
              <w:t>R</w:t>
            </w:r>
            <w:r w:rsidRPr="00143CB6">
              <w:rPr>
                <w:rFonts w:asciiTheme="minorHAnsi" w:hAnsiTheme="minorHAnsi" w:cstheme="minorHAnsi"/>
                <w:szCs w:val="22"/>
              </w:rPr>
              <w:t>egions.</w:t>
            </w:r>
          </w:p>
          <w:p w14:paraId="7B6B1DBC" w14:textId="77777777" w:rsidR="0031651C" w:rsidRPr="00143CB6" w:rsidRDefault="0031651C" w:rsidP="00437F65">
            <w:pPr>
              <w:pStyle w:val="ListParagraph"/>
              <w:spacing w:after="120"/>
              <w:ind w:left="360"/>
              <w:rPr>
                <w:rFonts w:asciiTheme="minorHAnsi" w:hAnsiTheme="minorHAnsi" w:cstheme="minorHAnsi"/>
                <w:szCs w:val="22"/>
              </w:rPr>
            </w:pPr>
          </w:p>
          <w:p w14:paraId="5760B3B3" w14:textId="77777777" w:rsidR="0031651C" w:rsidRPr="00143CB6" w:rsidRDefault="0031651C" w:rsidP="0031651C">
            <w:pPr>
              <w:pStyle w:val="ListParagraph"/>
              <w:numPr>
                <w:ilvl w:val="0"/>
                <w:numId w:val="38"/>
              </w:numPr>
              <w:spacing w:after="120" w:line="360" w:lineRule="auto"/>
              <w:ind w:left="360"/>
              <w:jc w:val="left"/>
              <w:rPr>
                <w:rFonts w:asciiTheme="minorHAnsi" w:hAnsiTheme="minorHAnsi" w:cstheme="minorHAnsi"/>
                <w:szCs w:val="22"/>
              </w:rPr>
            </w:pPr>
            <w:r w:rsidRPr="00143CB6">
              <w:rPr>
                <w:rFonts w:asciiTheme="minorHAnsi" w:hAnsiTheme="minorHAnsi" w:cstheme="minorHAnsi"/>
                <w:b/>
                <w:bCs/>
                <w:szCs w:val="22"/>
              </w:rPr>
              <w:t>Fisheries exploitation</w:t>
            </w:r>
            <w:r w:rsidRPr="00143CB6">
              <w:rPr>
                <w:rFonts w:asciiTheme="minorHAnsi" w:hAnsiTheme="minorHAnsi" w:cstheme="minorHAnsi"/>
                <w:szCs w:val="22"/>
              </w:rPr>
              <w:br/>
            </w:r>
            <w:r w:rsidRPr="00143CB6">
              <w:rPr>
                <w:rFonts w:asciiTheme="minorHAnsi" w:hAnsiTheme="minorHAnsi" w:cstheme="minorHAnsi"/>
                <w:noProof/>
                <w:szCs w:val="22"/>
                <w:lang w:eastAsia="fr-FR"/>
              </w:rPr>
              <w:t xml:space="preserve"> </w:t>
            </w:r>
            <w:r w:rsidRPr="00143CB6">
              <w:rPr>
                <w:rFonts w:asciiTheme="minorHAnsi" w:hAnsiTheme="minorHAnsi" w:cstheme="minorHAnsi"/>
                <w:noProof/>
                <w:szCs w:val="22"/>
                <w:lang w:eastAsia="fr-FR"/>
              </w:rPr>
              <w:drawing>
                <wp:inline distT="0" distB="0" distL="0" distR="0" wp14:anchorId="1FAD4E33" wp14:editId="569DBB30">
                  <wp:extent cx="3852677" cy="255804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28">
                            <a:extLst>
                              <a:ext uri="{28A0092B-C50C-407E-A947-70E740481C1C}">
                                <a14:useLocalDpi xmlns:a14="http://schemas.microsoft.com/office/drawing/2010/main" val="0"/>
                              </a:ext>
                            </a:extLst>
                          </a:blip>
                          <a:stretch>
                            <a:fillRect/>
                          </a:stretch>
                        </pic:blipFill>
                        <pic:spPr>
                          <a:xfrm>
                            <a:off x="0" y="0"/>
                            <a:ext cx="3852677" cy="2558040"/>
                          </a:xfrm>
                          <a:prstGeom prst="rect">
                            <a:avLst/>
                          </a:prstGeom>
                        </pic:spPr>
                      </pic:pic>
                    </a:graphicData>
                  </a:graphic>
                </wp:inline>
              </w:drawing>
            </w:r>
          </w:p>
          <w:p w14:paraId="6AAB80DE" w14:textId="1A19A4FD" w:rsidR="0031651C" w:rsidRPr="00757F9B" w:rsidRDefault="0031651C" w:rsidP="00757F9B">
            <w:pPr>
              <w:pStyle w:val="Caption"/>
              <w:ind w:left="408"/>
              <w:rPr>
                <w:rFonts w:cstheme="minorHAnsi"/>
                <w:sz w:val="22"/>
                <w:szCs w:val="22"/>
                <w:lang w:val="en-GB"/>
              </w:rPr>
            </w:pPr>
            <w:r w:rsidRPr="00143CB6">
              <w:rPr>
                <w:rFonts w:cstheme="minorHAnsi"/>
                <w:sz w:val="22"/>
                <w:szCs w:val="22"/>
                <w:lang w:val="en-GB"/>
              </w:rPr>
              <w:t xml:space="preserve">Figure 6 : Mean annual exploitation rate of wild </w:t>
            </w:r>
            <w:r w:rsidRPr="00143CB6">
              <w:rPr>
                <w:rFonts w:eastAsia="Calibri" w:cstheme="minorHAnsi"/>
                <w:sz w:val="22"/>
                <w:szCs w:val="22"/>
                <w:lang w:val="en-GB"/>
              </w:rPr>
              <w:t>One-Sea-Winter</w:t>
            </w:r>
            <w:r w:rsidRPr="00143CB6">
              <w:rPr>
                <w:rFonts w:cstheme="minorHAnsi"/>
                <w:sz w:val="22"/>
                <w:szCs w:val="22"/>
                <w:lang w:val="en-GB"/>
              </w:rPr>
              <w:t xml:space="preserve"> (1SW) and Multiple-Sea-Winter (MSW) Atlantic salmon by commercial and recreational fisheries in Northern and Southern NEAC (North Eastern Atlantic Commission) countries.; adapted from </w:t>
            </w:r>
            <w:r w:rsidRPr="00143CB6">
              <w:rPr>
                <w:rFonts w:cstheme="minorHAnsi"/>
                <w:sz w:val="22"/>
                <w:szCs w:val="22"/>
                <w:lang w:val="en-GB"/>
              </w:rPr>
              <w:fldChar w:fldCharType="begin"/>
            </w:r>
            <w:r w:rsidRPr="00143CB6">
              <w:rPr>
                <w:rFonts w:cstheme="minorHAnsi"/>
                <w:sz w:val="22"/>
                <w:szCs w:val="22"/>
                <w:lang w:val="en-GB"/>
              </w:rPr>
              <w:instrText xml:space="preserve"> ADDIN ZOTERO_ITEM CSL_CITATION {"citationID":"tMcqGv8o","properties":{"formattedCitation":"(ICES, 2021)","plainCitation":"(ICES, 2021)","noteIndex":0},"citationItems":[{"id":"HFN45aOe/eyxy24wo","uris":["http://zotero.org/users/local/6PJuduYe/items/RD388AD7"],"uri":["http://zotero.org/users/local/6PJuduYe/items/RD388AD7"],"itemData":{"id":431,"type":"article-journal","DOI":"10.17895/ICES.PUB.7923","note":"publisher: ICES","source":"DOI.org (Datacite)","title":"Working Group on North Atlantic Salmon","URL":"https://www.ices.dk/sites/pub/Publication Reports/Forms/DispForm.aspx?ID=37558","author":[{"family":"ICES","given":""}],"accessed":{"date-parts":[["2021",9,7]]},"issued":{"date-parts":[["2021"]]}}}],"schema":"https://github.com/citation-style-language/schema/raw/master/csl-citation.json"} </w:instrText>
            </w:r>
            <w:r w:rsidRPr="00143CB6">
              <w:rPr>
                <w:rFonts w:cstheme="minorHAnsi"/>
                <w:sz w:val="22"/>
                <w:szCs w:val="22"/>
                <w:lang w:val="en-GB"/>
              </w:rPr>
              <w:fldChar w:fldCharType="separate"/>
            </w:r>
            <w:r w:rsidRPr="00143CB6">
              <w:rPr>
                <w:rFonts w:cstheme="minorHAnsi"/>
                <w:sz w:val="22"/>
                <w:szCs w:val="22"/>
                <w:lang w:val="en-GB"/>
              </w:rPr>
              <w:t>(ICES, 2021)</w:t>
            </w:r>
            <w:r w:rsidRPr="00143CB6">
              <w:rPr>
                <w:rFonts w:cstheme="minorHAnsi"/>
                <w:sz w:val="22"/>
                <w:szCs w:val="22"/>
                <w:lang w:val="en-GB"/>
              </w:rPr>
              <w:fldChar w:fldCharType="end"/>
            </w:r>
            <w:r w:rsidRPr="00143CB6">
              <w:rPr>
                <w:rFonts w:cstheme="minorHAnsi"/>
                <w:sz w:val="22"/>
                <w:szCs w:val="22"/>
                <w:lang w:val="en-GB"/>
              </w:rPr>
              <w:t>.</w:t>
            </w:r>
          </w:p>
          <w:p w14:paraId="507BAC20" w14:textId="4772BB1A" w:rsidR="0031651C" w:rsidRPr="00143CB6" w:rsidRDefault="0031651C" w:rsidP="00437F65">
            <w:pPr>
              <w:spacing w:after="120"/>
              <w:ind w:left="36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Fisheries exploitation of Atlantic salmon was a great concern in the past century, but average annual exploitation by commercial (</w:t>
            </w:r>
            <w:r w:rsidRPr="00143CB6">
              <w:rPr>
                <w:rFonts w:asciiTheme="minorHAnsi" w:hAnsiTheme="minorHAnsi" w:cstheme="minorHAnsi"/>
                <w:i/>
                <w:iCs/>
                <w:sz w:val="22"/>
                <w:szCs w:val="22"/>
                <w:lang w:val="en-GB"/>
              </w:rPr>
              <w:t xml:space="preserve">cf. </w:t>
            </w:r>
            <w:r w:rsidRPr="00143CB6">
              <w:rPr>
                <w:rFonts w:asciiTheme="minorHAnsi" w:hAnsiTheme="minorHAnsi" w:cstheme="minorHAnsi"/>
                <w:sz w:val="22"/>
                <w:szCs w:val="22"/>
                <w:lang w:val="en-GB"/>
              </w:rPr>
              <w:t xml:space="preserve">Figure 6) and recreational fisheries have greatly decreased over the last 60 years and are presently at very low levels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{"citationID":"zzlw0QFT","properties":{"formattedCitation":"(ICES, 2021)","plainCitation":"(ICES, 2021)","noteIndex":0},"citationItems":[{"id":"HFN45aOe/eyxy24wo","uris":["http://zotero.org/users/local/6PJuduYe/items/RD388AD7"],"uri":["http://zotero.org/users/local/6PJuduYe/items/RD388AD7"],"itemData":{"id":431,"type":"article-journal","DOI":"10.17895/ICES.PUB.7923","note":"publisher: ICES","source":"DOI.org (Datacite)","title":"Working Group on North Atlantic Salmon","URL":"https://www.ices.dk/sites/pub/Publication Reports/Forms/DispForm.aspx?ID=37558","author":[{"family":"ICES","given":""}],"accessed":{"date-parts":[["2021",9,7]]},"issued":{"date-parts":[["2021"]]}}}],"schema":"https://github.com/citation-style-language/schema/raw/master/csl-citation.json"}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(ICES, 2021)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Fishing remains, nonetheless, a threat for many small or endangered populations and exploitation rates are still under careful review and management. In Norway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{"citationID":"kFvPgfBu","properties":{"formattedCitation":"(Forseth et al., 2020)","plainCitation":"(Forseth et al., 2020)","noteIndex":0},"citationItems":[{"id":"HFN45aOe/HE2acr88","uris":["http://zotero.org/users/local/6PJuduYe/items/8R2BZZJE"],"uri":["http://zotero.org/users/local/6PJuduYe/items/8R2BZZJE"],"itemData":{"id":535,"type":"article","title":"Status of wild Atlantic salmon in Norway 2020","URL":"https://vitenskapsradet.no/Portals/vitenskapsradet/Pdf/Status%20of%20wild%20Atlantic%20salmon%20in%20Norway%202020T.pdf?ver=5edE21dH2DFOaPNai04Uig%3d%3d","author":[{"family":"Forseth","given":"Torbjørn"},{"family":"Thorstad","given":"Eva B"},{"family":"Fiske","given":"Peder"}],"accessed":{"date-parts":[["2021",9,30]]},"issued":{"date-parts":[["2020"]]}}}],"schema":"https://github.com/citation-style-language/schema/raw/master/csl-citation.json"}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(Forseth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2020)</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and Sweden, exploitation rates had decreased for the last ten years due to new legislation and the closure of fisheries (2015 in Sweden). Exploitation rates had also greatly decreased in Scotland and Northern Ireland (with changes to legislation, the prohibition of some fisheries and the voluntary uptake in catch and release fishing) while it remained constant in France, Spain and Ireland. Many commercial net fisheries are closed in England with mandatory catch and release in others. A total ban on killing salmon was introduced in Wales in 2020 covering both commercial and recreational fishing, although both are still allowed on a catch and release basis. Additionally, the netting season has been reduced.</w:t>
            </w:r>
          </w:p>
          <w:p w14:paraId="33871B8C" w14:textId="77777777" w:rsidR="0031651C" w:rsidRPr="00143CB6" w:rsidRDefault="0031651C" w:rsidP="00437F65">
            <w:pPr>
              <w:rPr>
                <w:rFonts w:asciiTheme="minorHAnsi" w:hAnsiTheme="minorHAnsi" w:cstheme="minorHAnsi"/>
                <w:sz w:val="22"/>
                <w:szCs w:val="22"/>
                <w:lang w:val="en-GB"/>
              </w:rPr>
            </w:pPr>
          </w:p>
          <w:p w14:paraId="61388E1E" w14:textId="77777777" w:rsidR="0031651C" w:rsidRPr="00143CB6" w:rsidRDefault="0031651C" w:rsidP="0031651C">
            <w:pPr>
              <w:pStyle w:val="ListParagraph"/>
              <w:numPr>
                <w:ilvl w:val="0"/>
                <w:numId w:val="38"/>
              </w:numPr>
              <w:spacing w:after="120" w:line="360" w:lineRule="auto"/>
              <w:ind w:left="410" w:hanging="334"/>
              <w:rPr>
                <w:rFonts w:asciiTheme="minorHAnsi" w:hAnsiTheme="minorHAnsi" w:cstheme="minorHAnsi"/>
                <w:szCs w:val="22"/>
              </w:rPr>
            </w:pPr>
            <w:r w:rsidRPr="00143CB6">
              <w:rPr>
                <w:rFonts w:asciiTheme="minorHAnsi" w:hAnsiTheme="minorHAnsi" w:cstheme="minorHAnsi"/>
                <w:b/>
                <w:bCs/>
                <w:szCs w:val="22"/>
              </w:rPr>
              <w:t xml:space="preserve">Hydrological manipulation, riverbed engineering schemes </w:t>
            </w:r>
          </w:p>
          <w:p w14:paraId="51B100F2" w14:textId="77777777" w:rsidR="0031651C" w:rsidRPr="00143CB6" w:rsidRDefault="0031651C" w:rsidP="00437F65">
            <w:pPr>
              <w:pStyle w:val="ListParagraph"/>
              <w:ind w:left="268"/>
              <w:rPr>
                <w:rFonts w:asciiTheme="minorHAnsi" w:hAnsiTheme="minorHAnsi" w:cstheme="minorHAnsi"/>
                <w:szCs w:val="22"/>
                <w:highlight w:val="yellow"/>
              </w:rPr>
            </w:pPr>
            <w:r w:rsidRPr="00143CB6">
              <w:rPr>
                <w:rFonts w:asciiTheme="minorHAnsi" w:hAnsiTheme="minorHAnsi" w:cstheme="minorHAnsi"/>
                <w:szCs w:val="22"/>
              </w:rPr>
              <w:t xml:space="preserve">In many European countries, hydropower production is affecting the quality and connectivity of river ecosystems. Many older concessions are being revised or closed leading to a potential decrease in threats. However, small-scale hydropower stations (S-SHS) programs are expanding in several countries and raise new concerns about the negative impacts on Atlantic salmon. Data are lacking, however, to enable an assessment of all potential effects (but see Bakken </w:t>
            </w:r>
            <w:r w:rsidRPr="00143CB6">
              <w:rPr>
                <w:rFonts w:asciiTheme="minorHAnsi" w:hAnsiTheme="minorHAnsi" w:cstheme="minorHAnsi"/>
                <w:i/>
                <w:szCs w:val="22"/>
              </w:rPr>
              <w:t>et al.</w:t>
            </w:r>
            <w:r w:rsidRPr="00143CB6">
              <w:rPr>
                <w:rFonts w:asciiTheme="minorHAnsi" w:hAnsiTheme="minorHAnsi" w:cstheme="minorHAnsi"/>
                <w:szCs w:val="22"/>
              </w:rPr>
              <w:t xml:space="preserve"> </w:t>
            </w:r>
            <w:r w:rsidRPr="00143CB6">
              <w:rPr>
                <w:rFonts w:asciiTheme="minorHAnsi" w:hAnsiTheme="minorHAnsi" w:cstheme="minorHAnsi"/>
                <w:szCs w:val="22"/>
              </w:rPr>
              <w:fldChar w:fldCharType="begin"/>
            </w:r>
            <w:r w:rsidRPr="00143CB6">
              <w:rPr>
                <w:rFonts w:asciiTheme="minorHAnsi" w:hAnsiTheme="minorHAnsi" w:cstheme="minorHAnsi"/>
                <w:szCs w:val="22"/>
              </w:rPr>
              <w:instrText xml:space="preserve"> ADDIN ZOTERO_ITEM CSL_CITATION {"citationID":"ctViKGmg","properties":{"formattedCitation":"(2012)","plainCitation":"(2012)","noteIndex":0},"citationItems":[{"id":18688,"uris":["http://zotero.org/users/1945633/items/7GZA6WCU"],"uri":["http://zotero.org/users/1945633/items/7GZA6WCU"],"itemData":{"id":18688,"type":"article-journal","abstract":"This study has compared the accumulated environmental impacts from 27 small-scale hydropower plants with 3 large hydropower projects. The results show a slight tendency that large hydropower has a lower degree of impacts than many small-scale projects, but lack of precision in the data and weak methodological foundation introduces uncertainty in the results. Taking into account other benefits such as the provision of regulated power, it is reasonable to assume that a few large hydropower projects will produce electricity to a lower environmental cost compared to many small projects, which should be considered when realizing renewable energy policy objectives.","container-title":"Energy Procedia","DOI":"10.1016/j.egypro.2012.03.019","ISSN":"18766102","journalAbbreviation":"Energy Procedia","language":"en","page":"185-199","source":"DOI.org (Crossref)","title":"Development of Small Versus Large Hydropower in Norway– Comparison of Environmental Impacts","volume":"20","author":[{"family":"Bakken","given":"Tor Haakon"},{"family":"Sundt","given":"Håkon"},{"family":"Ruud","given":"Audun"},{"family":"Harby","given":"Atle"}],"issued":{"date-parts":[["2012"]]}},"suppress-author":true}],"schema":"https://github.com/citation-style-language/schema/raw/master/csl-citation.json"} </w:instrText>
            </w:r>
            <w:r w:rsidRPr="00143CB6">
              <w:rPr>
                <w:rFonts w:asciiTheme="minorHAnsi" w:hAnsiTheme="minorHAnsi" w:cstheme="minorHAnsi"/>
                <w:szCs w:val="22"/>
              </w:rPr>
              <w:fldChar w:fldCharType="separate"/>
            </w:r>
            <w:r w:rsidRPr="00143CB6">
              <w:rPr>
                <w:rFonts w:asciiTheme="minorHAnsi" w:hAnsiTheme="minorHAnsi" w:cstheme="minorHAnsi"/>
                <w:szCs w:val="22"/>
              </w:rPr>
              <w:t>(2012)</w:t>
            </w:r>
            <w:r w:rsidRPr="00143CB6">
              <w:rPr>
                <w:rFonts w:asciiTheme="minorHAnsi" w:hAnsiTheme="minorHAnsi" w:cstheme="minorHAnsi"/>
                <w:szCs w:val="22"/>
              </w:rPr>
              <w:fldChar w:fldCharType="end"/>
            </w:r>
            <w:r w:rsidRPr="00143CB6">
              <w:rPr>
                <w:rFonts w:asciiTheme="minorHAnsi" w:hAnsiTheme="minorHAnsi" w:cstheme="minorHAnsi"/>
                <w:szCs w:val="22"/>
              </w:rPr>
              <w:t xml:space="preserve"> for a review of effects in Norway). Overall, the present situation is not changing in OSPAR regions but the potential threat of S-SHS needs further study in the near future and probably better legislation to protect key habitats in some countries.</w:t>
            </w:r>
          </w:p>
          <w:p w14:paraId="0E7E1AE9" w14:textId="77777777" w:rsidR="0031651C" w:rsidRPr="00143CB6" w:rsidRDefault="0031651C" w:rsidP="00437F65">
            <w:pPr>
              <w:pStyle w:val="ListParagraph"/>
              <w:ind w:left="268"/>
              <w:rPr>
                <w:rFonts w:asciiTheme="minorHAnsi" w:hAnsiTheme="minorHAnsi" w:cstheme="minorHAnsi"/>
                <w:szCs w:val="22"/>
              </w:rPr>
            </w:pPr>
          </w:p>
          <w:p w14:paraId="16DB0BB4" w14:textId="77777777" w:rsidR="0031651C" w:rsidRPr="00143CB6" w:rsidRDefault="0031651C" w:rsidP="0031651C">
            <w:pPr>
              <w:pStyle w:val="ListParagraph"/>
              <w:numPr>
                <w:ilvl w:val="0"/>
                <w:numId w:val="38"/>
              </w:numPr>
              <w:spacing w:after="120" w:line="360" w:lineRule="auto"/>
              <w:ind w:left="408" w:hanging="408"/>
              <w:rPr>
                <w:rFonts w:asciiTheme="minorHAnsi" w:hAnsiTheme="minorHAnsi" w:cstheme="minorHAnsi"/>
                <w:szCs w:val="22"/>
              </w:rPr>
            </w:pPr>
            <w:r w:rsidRPr="00143CB6">
              <w:rPr>
                <w:rFonts w:asciiTheme="minorHAnsi" w:hAnsiTheme="minorHAnsi" w:cstheme="minorHAnsi"/>
                <w:b/>
                <w:bCs/>
                <w:szCs w:val="22"/>
              </w:rPr>
              <w:t>Climate change</w:t>
            </w:r>
          </w:p>
          <w:p w14:paraId="6C5CAE90" w14:textId="77777777" w:rsidR="0031651C" w:rsidRPr="00143CB6" w:rsidRDefault="0031651C" w:rsidP="00437F65">
            <w:pPr>
              <w:spacing w:after="120"/>
              <w:ind w:left="36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With most future climatic scenarios predicting higher temperatures and a rise in extreme events (</w:t>
            </w:r>
            <w:r w:rsidRPr="00143CB6">
              <w:rPr>
                <w:rFonts w:asciiTheme="minorHAnsi" w:hAnsiTheme="minorHAnsi" w:cstheme="minorHAnsi"/>
                <w:i/>
                <w:iCs/>
                <w:sz w:val="22"/>
                <w:szCs w:val="22"/>
                <w:lang w:val="en-GB"/>
              </w:rPr>
              <w:t>e.g.</w:t>
            </w:r>
            <w:r w:rsidRPr="00143CB6">
              <w:rPr>
                <w:rFonts w:asciiTheme="minorHAnsi" w:hAnsiTheme="minorHAnsi" w:cstheme="minorHAnsi"/>
                <w:sz w:val="22"/>
                <w:szCs w:val="22"/>
                <w:lang w:val="en-GB"/>
              </w:rPr>
              <w:t xml:space="preserve"> flooding and drought), there is growing concern over the many effects on salmon feeding, growth, survival and migratory routes (reviewed by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{"citationID":"ySsRUYkg","properties":{"formattedCitation":"(Jonsson &amp; Jonsson, 2009)","plainCitation":"(Jonsson &amp; Jonsson, 2009)","noteIndex":0},"citationItems":[{"id":"HFN45aOe/dnEV3cnN","uris":["http://zotero.org/users/local/6PJuduYe/items/C622NR27"],"uri":["http://zotero.org/users/local/6PJuduYe/items/C622NR27"],"itemData":{"id":588,"type":"article-journal","abstract":"The present paper reviews the effects of water temperature and flow on migrations, embryonic development, hatching, emergence, growth and life-history traits in light of the ongoing climate change with emphasis on anadromous Atlantic salmon Salmo salar and brown trout Salmo trutta. The expected climate change in the Atlantic is for milder and wetter winters, with more precipitation falling as rain and less as snow, decrease in ice-covered periods and frequent periods with extreme weather. Overall, thermal limits for salmonids are species specific. Scope for activity and growth and optimal temperature for growth increase with temperature to an optimal point before constrain by the oxygen content of the water. The optimal temperature for growth decreases with increasing fish size and varies little among populations within species, whereas the growth efficiency may be locally adapted to the temperature conditions of the home stream during the growth season. Indirectly, temperature influences age and size at smolting through its effect on growth. Time of spawning, egg hatching and emergence of the larvae vary with temperature and selective effects on time of first feeding. Traits such as age at first maturity, longevity and fecundity decrease with increasing temperature whilst egg size increases with temperature. Water flow influences the accessibility of rivers for returning adults and speed of both upstream and downstream migration. Extremes in water flow and temperature can decrease recruitment and survival. There is reason to expect a northward movement of the thermal niche of anadromous salmonids with decreased production and population extinction in the southern part of the distribution areas, migrations earlier in the season, later spawning, younger age at smolting and sexual maturity and increased disease susceptibility and mortality. Future research challenges are summarized at the end of the paper.","container-title":"Journal of Fish Biology","DOI":"10.1111/j.1095-8649.2009.02380.x","ISSN":"1095-8649","issue":"10","language":"en","note":"_eprint: https://onlinelibrary.wiley.com/doi/pdf/10.1111/j.1095-8649.2009.02380.x","page":"2381-2447","source":"Wiley Online Library","title":"A review of the likely effects of climate change on anadromous Atlantic salmon Salmo salar and brown trout Salmo trutta, with particular reference to water temperature and flow","volume":"75","author":[{"family":"Jonsson","given":"B."},{"family":"Jonsson","given":"N."}],"issued":{"date-parts":[["2009"]]}}}],"schema":"https://github.com/citation-style-language/schema/raw/master/csl-citation.json"}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(Jonsson &amp; Jonsson, 2009)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Nonetheless, recent climatic events had already been found to have effects both during the freshwater and marine phases of the salmon life cycle. Gregory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XQpBymuo","properties":{"formattedCitation":"(2020)","plainCitation":"(2020)","noteIndex":0},"citationItems":[{"id":18398,"uris":["http://zotero.org/users/1945633/items/ZD7NZHWV"],"uri":["http://zotero.org/users/1945633/items/ZD7NZHWV"],"itemData":{"id":18398,"type":"article-journal","container-title":"Freshwater Biology","DOI":"10.1111/fwb.13609","ISSN":"0046-5070, 1365-2427","issue":"12","journalAbbreviation":"Freshw Biol","language":"en","page":"2135-2153","source":"DOI.org (Crossref)","title":"Environmental conditions modify density‐dependent salmonid recruitment: Insights into the 2016 recruitment crash in Wales","title-short":"Environmental conditions modify density‐dependent salmonid recruitment","volume":"65","author":[{"family":"Gregory","given":"Stephen D."},{"family":"Bewes","given":"Victoria E."},{"family":"Davey","given":"Andrew J.H."},{"family":"Roberts","given":"Dylan E."},{"family":"Gough","given":"Peter"},{"family":"Davidson","given":"Ian C."}],"issued":{"date-parts":[["2020",12]]}},"suppress-author":true}],"schema":"https://github.com/citation-style-language/schema/raw/master/csl-citation.json"}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(2020)</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reported a salmon recruitment crash in 2016 in response to warm spawning temperatures and high river flows during the earliest life stages in Wales. Rikardsen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deIcdDGS","properties":{"formattedCitation":"(2021)","plainCitation":"(2021)","noteIndex":0},"citationItems":[{"id":"HFN45aOe/M9MGJKrO","uris":["http://zotero.org/users/local/6PJuduYe/items/5HKWJLWS"],"uri":["http://zotero.org/users/local/6PJuduYe/items/5HKWJLWS"],"itemData":{"id":216,"type":"article-journal","abstract":"Determining the mechanisms driving range-wide reductions in Atlantic salmon marine survival is hindered by an insufficient understanding of their oceanic ecology and distribution. We attached 204 pop-up satellite archival tags to post-spawned salmon when they migrated to the ocean from seven European areas and maiden North American salmon captured at sea at West Greenland. Individuals migrated further north and east than previously reported and displayed increased diving activity near oceanographic fronts, emphasizing the importance of these regions as feeding areas. The oceanic distribution differed among individuals and populations, but overlapped more between geographically proximate than distant populations. Dissimilarities in distribution likely contribute to variation in growth and survival within and among populations due to spatio-temporal differences in environmental conditions. Climate-induced changes in oceanographic conditions will alter the location of frontal areas and may have stock-specific effects on Atlantic salmon population dynamics, likely having the largest impacts on southern populations.","container-title":"Scientific Reports","DOI":"10.1038/s41598-021-91137-y","ISSN":"2045-2322","issue":"1","journalAbbreviation":"Sci Rep","language":"en","note":"Bandiera_abtest: a\nCc_license_type: cc_by\nCg_type: Nature Research Journals\nnumber: 1\nPrimary_atype: Research\npublisher: Nature Publishing Group\nSubject_term: Ecology;Environmental sciences;Ocean sciences\nSubject_term_id: ecology;environmental-sciences;ocean-sciences","page":"12266","source":"www.nature.com","title":"Redefining the oceanic distribution of Atlantic salmon","volume":"11","author":[{"family":"Rikardsen","given":"Audun H."},{"family":"Righton","given":"David"},{"family":"Strøm","given":"John Fredrik"},{"family":"Thorstad","given":"Eva B."},{"family":"Gargan","given":"Patrick"},{"family":"Sheehan","given":"Timothy"},{"family":"Økland","given":"Finn"},{"family":"Chittenden","given":"Cedar M."},{"family":"Hedger","given":"Richard D."},{"family":"Næsje","given":"Tor F."},{"family":"Renkawitz","given":"Mark"},{"family":"Sturlaugsson","given":"Johannes"},{"family":"Caballero","given":"Pablo"},{"family":"Baktoft","given":"Henrik"},{"family":"Davidsen","given":"Jan G."},{"family":"Halttunen","given":"Elina"},{"family":"Wright","given":"Serena"},{"family":"Finstad","given":"Bengt"},{"family":"Aarestrup","given":"Kim"}],"issued":{"date-parts":[["2021",6,10]]}},"suppress-author":true}],"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(2021)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found that with the rise of sea temperature, migration routes of salmon population seemed to extend farther north. This could affect salmon populations if they cannot adapt to those longer migration routes, especially for southern populations (Portugal, Spain) which may need to travel longer distances to encounter appropriate foraging areas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{"citationID":"i9ILko4n","properties":{"formattedCitation":"(Nicola et al., 2018a)","plainCitation":"(Nicola et al., 2018a)","noteIndex":0},"citationItems":[{"id":18690,"uris":["http://zotero.org/users/1945633/items/E3S2WS93"],"uri":["http://zotero.org/users/1945633/items/E3S2WS93"],"itemData":{"id":18690,"type":"article-journal","abstract":"The abundance of Atlantic salmon is declining throughout its geographical area. Fisheries and global warming were assumed as main drivers of the decline, and recent studies suggest that habitat changes in freshwater is a third contributor. Southern populations experience the greatest decline, and face the highest risk of extinction as global warming moves its thermal niche northwards. We analysed long-term catch data (1949–2013) from a salmon ﬁshery in northern Spain, and examined its relationship with local and global indicators of temperature and hydrological change. CPUE data, analysed by ARIMA time-series models, exhibited a signiﬁcant negative trend and a marked decrease since 1973–1974, possibly triggered by overﬁshing at sea and a sudden outbreak of disease. Temperature increased in the same period, particularly so since 1986–1988, being negatively correlated with CPUE. A signiﬁcant change in magnitude and duration of extreme water conditions occurred from 1970s onwards. Indicators of hydrological shift were also signiﬁcantly correlated with CPUE of returning salmon. The best ARIMAX models indicated however, that the decrease in salmon CPUE was mainly driven by temperature trends. This indicates that both local (temperature and ﬂow in the river) and global (ocean temperature) factors have contributed to the decrease in salmon numbers, and that temperature has played the major role. Despite a strong reduction in ﬁshing pressure after the 1970s widespread collapse, our study population did not recover to previous abundance levels. This suggests the operation of additional factors, being climate warming and changes in food webs of the North Atlantic the most likely reasons.","container-title":"Fisheries Research","DOI":"10.1016/j.fishres.2017.10.012","ISSN":"01657836","journalAbbreviation":"Fisheries Research","language":"en","page":"78-85","source":"DOI.org (Crossref)","title":"Local and global climatic drivers of Atlantic salmon decline in southern Europe","volume":"198","author":[{"family":"Nicola","given":"Graciela G."},{"family":"Elvira","given":"Benigno"},{"family":"Jonsson","given":"Bror"},{"family":"Ayllón","given":"Daniel"},{"family":"Almodóvar","given":"Ana"}],"issued":{"date-parts":[["2018",2]]}}}],"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(Nicola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2018)</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However, the effect of rising water temperatures is not uniform, with the potential for increases in marine survival for some stocks and decreasing marine survival for others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{"citationID":"mAHxlwkA","properties":{"formattedCitation":"(ICES, 2017)","plainCitation":"(ICES, 2017)","noteIndex":0},"citationItems":[{"id":"HFN45aOe/JBY010J9","uris":["http://zotero.org/users/local/6PJuduYe/items/36JHJLBB"],"uri":["http://zotero.org/users/local/6PJuduYe/items/36JHJLBB"],"itemData":{"id":550,"type":"report","event-place":"Copenhagen, Denmark","number":"ICES CM 2017/ACOM:39","page":"90","publisher":"International Council for the Exploration of the Sea","publisher-place":"Copenhagen, Denmark","title":"Report of the Workshop on Potential Impacts of Climate Change on Atlantic Salmon Stock Dynamics (WKCCISAL)","URL":"https://www.ices.dk/sites/pub/Publication%20Reports/Expert%20Group%20Report/acom/2017/WKCCISAL/wkccisal_2017.pdf","author":[{"family":"ICES","given":""}],"issued":{"date-parts":[["2017",3]]}}}],"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(ICES, 2017)</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w:t>
            </w:r>
          </w:p>
          <w:p w14:paraId="3AA1B0AA" w14:textId="77777777" w:rsidR="0031651C" w:rsidRPr="00143CB6" w:rsidRDefault="0031651C" w:rsidP="0031651C">
            <w:pPr>
              <w:pStyle w:val="ListParagraph"/>
              <w:numPr>
                <w:ilvl w:val="0"/>
                <w:numId w:val="38"/>
              </w:numPr>
              <w:spacing w:after="120" w:line="360" w:lineRule="auto"/>
              <w:ind w:left="410"/>
              <w:rPr>
                <w:rFonts w:asciiTheme="minorHAnsi" w:hAnsiTheme="minorHAnsi" w:cstheme="minorHAnsi"/>
                <w:szCs w:val="22"/>
              </w:rPr>
            </w:pPr>
            <w:r w:rsidRPr="00143CB6">
              <w:rPr>
                <w:rFonts w:asciiTheme="minorHAnsi" w:hAnsiTheme="minorHAnsi" w:cstheme="minorHAnsi"/>
                <w:b/>
                <w:bCs/>
                <w:szCs w:val="22"/>
              </w:rPr>
              <w:t>Acidification</w:t>
            </w:r>
          </w:p>
          <w:p w14:paraId="68034864" w14:textId="15D8E381" w:rsidR="0031651C" w:rsidRPr="00143CB6" w:rsidRDefault="0031651C" w:rsidP="10215BEE">
            <w:pPr>
              <w:spacing w:after="120"/>
              <w:ind w:left="360"/>
              <w:jc w:val="both"/>
              <w:rPr>
                <w:rFonts w:asciiTheme="minorHAnsi" w:hAnsiTheme="minorHAnsi" w:cstheme="minorBidi"/>
                <w:sz w:val="22"/>
                <w:szCs w:val="22"/>
                <w:lang w:val="en-GB"/>
              </w:rPr>
            </w:pPr>
            <w:r w:rsidRPr="10215BEE">
              <w:rPr>
                <w:rFonts w:asciiTheme="minorHAnsi" w:hAnsiTheme="minorHAnsi" w:cstheme="minorBidi"/>
                <w:sz w:val="22"/>
                <w:szCs w:val="22"/>
                <w:lang w:val="en-GB"/>
              </w:rPr>
              <w:t xml:space="preserve">Once a major concern, especially in the northern most part of the OSPAR </w:t>
            </w:r>
            <w:r w:rsidR="0075453D" w:rsidRPr="10215BEE">
              <w:rPr>
                <w:rFonts w:asciiTheme="minorHAnsi" w:hAnsiTheme="minorHAnsi" w:cstheme="minorBidi"/>
                <w:sz w:val="22"/>
                <w:szCs w:val="22"/>
                <w:lang w:val="en-GB"/>
              </w:rPr>
              <w:t>R</w:t>
            </w:r>
            <w:r w:rsidRPr="10215BEE">
              <w:rPr>
                <w:rFonts w:asciiTheme="minorHAnsi" w:hAnsiTheme="minorHAnsi" w:cstheme="minorBidi"/>
                <w:sz w:val="22"/>
                <w:szCs w:val="22"/>
                <w:lang w:val="en-GB"/>
              </w:rPr>
              <w:t xml:space="preserve">egion (I and II) acidification is associated with the premature mortality of wild Atlantic salmon and extirpation of some populations, acidification and acid rain seem to have decreased over the past decade. Indeed, emissions of all key air pollutants have reduced significantly (Figure 7) and for the most important acidifying compound, sulphur dioxide, emissions in Europe have decreased by 80% or more since the peaks around 1980–1990 </w:t>
            </w:r>
            <w:r w:rsidRPr="10215BEE">
              <w:rPr>
                <w:rFonts w:asciiTheme="minorHAnsi" w:hAnsiTheme="minorHAnsi" w:cstheme="minorBidi"/>
                <w:sz w:val="22"/>
                <w:szCs w:val="22"/>
                <w:lang w:val="en-GB"/>
              </w:rPr>
              <w:fldChar w:fldCharType="begin"/>
            </w:r>
            <w:r w:rsidRPr="10215BEE">
              <w:rPr>
                <w:rFonts w:asciiTheme="minorHAnsi" w:hAnsiTheme="minorHAnsi" w:cstheme="minorBidi"/>
                <w:sz w:val="22"/>
                <w:szCs w:val="22"/>
                <w:lang w:val="en-GB"/>
              </w:rPr>
              <w:instrText xml:space="preserve"> ADDIN ZOTERO_ITEM CSL_CITATION {"citationID":"RwbP37ZH","properties":{"formattedCitation":"(Grennfelt et al., 2020)","plainCitation":"(Grennfelt et al., 2020)","noteIndex":0},"citationItems":[{"id":"HFN45aOe/6MU1RIaM","uris":["http://zotero.org/users/local/6PJuduYe/items/XKATURNJ"],"uri":["http://zotero.org/users/local/6PJuduYe/items/XKATURNJ"],"itemData":{"id":533,"type":"article-journal","abstract":"Because of its serious large-scale effects on ecosystems and its transboundary nature, acid rain received for a few decades at the end of the last century wide scientific and public interest, leading to coordinated policy actions in Europe and North America. Through these actions, in particular those under the UNECE Convention on Long-range Transboundary Air Pollution, air emissions were substantially reduced, and ecosystem impacts decreased. Widespread scientific research, long-term monitoring, and integrated assessment modelling formed the basis for the policy agreements. In this paper, which is based on an international symposium organised to commemorate 50 years of successful integration of air pollution research and policy, we briefly describe the scientific findings that provided the foundation for the policy development. We also discuss important characteristics of the science–policy interactions, such as the critical loads concept and the large-scale ecosystem field studies. Finally, acid rain and air pollution are set in the context of future societal developments and needs, e.g. the UN’s Sustainable Development Goals. We also highlight the need to maintain and develop supporting scientific infrastructures.","container-title":"Ambio","DOI":"10.1007/s13280-019-01244-4","ISSN":"1654-7209","issue":"4","journalAbbreviation":"Ambio","language":"en","page":"849-864","source":"Springer Link","title":"Acid rain and air pollution: 50 years of progress in environmental science and policy","title-short":"Acid rain and air pollution","volume":"49","author":[{"family":"Grennfelt","given":"Peringe"},{"family":"Engleryd","given":"Anna"},{"family":"Forsius","given":"Martin"},{"family":"Hov","given":"Øystein"},{"family":"Rodhe","given":"Henning"},{"family":"Cowling","given":"Ellis"}],"issued":{"date-parts":[["2020",4,1]]}}}],"schema":"https://github.com/citation-style-language/schema/raw/master/csl-citation.json"} </w:instrText>
            </w:r>
            <w:r w:rsidRPr="10215BEE">
              <w:rPr>
                <w:rFonts w:asciiTheme="minorHAnsi" w:hAnsiTheme="minorHAnsi" w:cstheme="minorBidi"/>
                <w:sz w:val="22"/>
                <w:szCs w:val="22"/>
                <w:lang w:val="en-GB"/>
              </w:rPr>
              <w:fldChar w:fldCharType="separate"/>
            </w:r>
            <w:r w:rsidRPr="10215BEE">
              <w:rPr>
                <w:rFonts w:asciiTheme="minorHAnsi" w:hAnsiTheme="minorHAnsi" w:cstheme="minorBidi"/>
                <w:sz w:val="22"/>
                <w:szCs w:val="22"/>
                <w:lang w:val="en-GB"/>
              </w:rPr>
              <w:t xml:space="preserve">(Grennfelt </w:t>
            </w:r>
            <w:r w:rsidRPr="10215BEE">
              <w:rPr>
                <w:rFonts w:asciiTheme="minorHAnsi" w:hAnsiTheme="minorHAnsi" w:cstheme="minorBidi"/>
                <w:i/>
                <w:iCs/>
                <w:sz w:val="22"/>
                <w:szCs w:val="22"/>
                <w:lang w:val="en-GB"/>
              </w:rPr>
              <w:t>et al.</w:t>
            </w:r>
            <w:r w:rsidRPr="10215BEE">
              <w:rPr>
                <w:rFonts w:asciiTheme="minorHAnsi" w:hAnsiTheme="minorHAnsi" w:cstheme="minorBidi"/>
                <w:sz w:val="22"/>
                <w:szCs w:val="22"/>
                <w:lang w:val="en-GB"/>
              </w:rPr>
              <w:t>, 2020)</w:t>
            </w:r>
            <w:r w:rsidRPr="10215BEE">
              <w:rPr>
                <w:rFonts w:asciiTheme="minorHAnsi" w:hAnsiTheme="minorHAnsi" w:cstheme="minorBidi"/>
                <w:sz w:val="22"/>
                <w:szCs w:val="22"/>
                <w:lang w:val="en-GB"/>
              </w:rPr>
              <w:fldChar w:fldCharType="end"/>
            </w:r>
            <w:r w:rsidRPr="10215BEE">
              <w:rPr>
                <w:rFonts w:asciiTheme="minorHAnsi" w:hAnsiTheme="minorHAnsi" w:cstheme="minorBidi"/>
                <w:sz w:val="22"/>
                <w:szCs w:val="22"/>
                <w:lang w:val="en-GB"/>
              </w:rPr>
              <w:t xml:space="preserve">. Further, liming has made an important contribution to the restoration of salmon in formerly acidified rivers in Norway and Sweden </w:t>
            </w:r>
            <w:r w:rsidRPr="10215BEE">
              <w:rPr>
                <w:rFonts w:asciiTheme="minorHAnsi" w:hAnsiTheme="minorHAnsi" w:cstheme="minorBidi"/>
                <w:sz w:val="22"/>
                <w:szCs w:val="22"/>
                <w:lang w:val="en-GB"/>
              </w:rPr>
              <w:fldChar w:fldCharType="begin"/>
            </w:r>
            <w:r w:rsidRPr="10215BEE">
              <w:rPr>
                <w:rFonts w:asciiTheme="minorHAnsi" w:hAnsiTheme="minorHAnsi" w:cstheme="minorBidi"/>
                <w:sz w:val="22"/>
                <w:szCs w:val="22"/>
                <w:lang w:val="en-GB"/>
              </w:rPr>
              <w:instrText xml:space="preserve"> ADDIN ZOTERO_ITEM CSL_CITATION {"citationID":"zLkMOJ0w","properties":{"formattedCitation":"(Hesthagen et al., 2011)","plainCitation":"(Hesthagen et al., 2011)","noteIndex":0},"citationItems":[{"id":"HFN45aOe/z1FfAJAC","uris":["http://zotero.org/users/local/6PJuduYe/items/LIZ3RZBC"],"uri":["http://zotero.org/users/local/6PJuduYe/items/LIZ3RZBC"],"itemData":{"id":557,"type":"article-journal","container-title":"Canadian Journal of Fisheries and Aquatic Sciences","DOI":"10.1139/F10-133","ISSN":"0706-652X","issue":"2","journalAbbreviation":"Can. J. Fish. Aquat. Sci.","note":"publisher: NRC Research Press","page":"224-231","source":"cdnsciencepub.com (Atypon)","title":"Liming restores Atlantic salmon (Salmo salar) populations in acidified Norwegian rivers","volume":"68","author":[{"family":"Hesthagen","given":"Trygve"},{"family":"Larsen","given":"Bjørn M."},{"family":"Fiske","given":"Peder"}],"issued":{"date-parts":[["2011",2,1]]}}}],"schema":"https://github.com/citation-style-language/schema/raw/master/csl-citation.json"} </w:instrText>
            </w:r>
            <w:r w:rsidRPr="10215BEE">
              <w:rPr>
                <w:rFonts w:asciiTheme="minorHAnsi" w:hAnsiTheme="minorHAnsi" w:cstheme="minorBidi"/>
                <w:sz w:val="22"/>
                <w:szCs w:val="22"/>
                <w:lang w:val="en-GB"/>
              </w:rPr>
              <w:fldChar w:fldCharType="separate"/>
            </w:r>
            <w:r w:rsidRPr="10215BEE">
              <w:rPr>
                <w:rFonts w:asciiTheme="minorHAnsi" w:hAnsiTheme="minorHAnsi" w:cstheme="minorBidi"/>
                <w:sz w:val="22"/>
                <w:szCs w:val="22"/>
                <w:lang w:val="en-GB"/>
              </w:rPr>
              <w:t xml:space="preserve">(Hesthagen </w:t>
            </w:r>
            <w:r w:rsidRPr="10215BEE">
              <w:rPr>
                <w:rFonts w:asciiTheme="minorHAnsi" w:hAnsiTheme="minorHAnsi" w:cstheme="minorBidi"/>
                <w:i/>
                <w:iCs/>
                <w:sz w:val="22"/>
                <w:szCs w:val="22"/>
                <w:lang w:val="en-GB"/>
              </w:rPr>
              <w:t>et al.</w:t>
            </w:r>
            <w:r w:rsidRPr="10215BEE">
              <w:rPr>
                <w:rFonts w:asciiTheme="minorHAnsi" w:hAnsiTheme="minorHAnsi" w:cstheme="minorBidi"/>
                <w:sz w:val="22"/>
                <w:szCs w:val="22"/>
                <w:lang w:val="en-GB"/>
              </w:rPr>
              <w:t>, 2011)</w:t>
            </w:r>
            <w:r w:rsidRPr="10215BEE">
              <w:rPr>
                <w:rFonts w:asciiTheme="minorHAnsi" w:hAnsiTheme="minorHAnsi" w:cstheme="minorBidi"/>
                <w:sz w:val="22"/>
                <w:szCs w:val="22"/>
                <w:lang w:val="en-GB"/>
              </w:rPr>
              <w:fldChar w:fldCharType="end"/>
            </w:r>
            <w:r w:rsidRPr="10215BEE">
              <w:rPr>
                <w:rFonts w:asciiTheme="minorHAnsi" w:hAnsiTheme="minorHAnsi" w:cstheme="minorBidi"/>
                <w:sz w:val="22"/>
                <w:szCs w:val="22"/>
                <w:lang w:val="en-GB"/>
              </w:rPr>
              <w:t xml:space="preserve">. </w:t>
            </w:r>
            <w:r w:rsidR="2D3A7B2D" w:rsidRPr="10215BEE">
              <w:rPr>
                <w:rFonts w:ascii="Calibri" w:eastAsia="Calibri" w:hAnsi="Calibri" w:cs="Calibri"/>
                <w:sz w:val="22"/>
                <w:szCs w:val="22"/>
                <w:lang w:val="en-GB"/>
              </w:rPr>
              <w:t>Overall, the threat is either stated as stable (OSPAR Regions I and II), decreasing (OSPAR Region III) or not an issue (OSPAR Region IV).</w:t>
            </w:r>
          </w:p>
          <w:p w14:paraId="60FD0DFA" w14:textId="77777777" w:rsidR="0031651C" w:rsidRPr="00143CB6" w:rsidRDefault="0031651C" w:rsidP="00437F65">
            <w:pPr>
              <w:keepNext/>
              <w:spacing w:after="120"/>
              <w:ind w:left="360"/>
              <w:jc w:val="both"/>
              <w:rPr>
                <w:rFonts w:asciiTheme="minorHAnsi" w:hAnsiTheme="minorHAnsi" w:cstheme="minorHAnsi"/>
                <w:sz w:val="22"/>
                <w:szCs w:val="22"/>
                <w:lang w:val="en-GB"/>
              </w:rPr>
            </w:pPr>
            <w:r w:rsidRPr="00143CB6">
              <w:rPr>
                <w:rFonts w:asciiTheme="minorHAnsi" w:hAnsiTheme="minorHAnsi" w:cstheme="minorHAnsi"/>
                <w:noProof/>
                <w:sz w:val="22"/>
                <w:szCs w:val="22"/>
                <w:lang w:val="en-GB"/>
              </w:rPr>
              <w:drawing>
                <wp:inline distT="0" distB="0" distL="0" distR="0" wp14:anchorId="7C231745" wp14:editId="6940B56A">
                  <wp:extent cx="3983107" cy="3196425"/>
                  <wp:effectExtent l="0" t="0" r="0" b="4445"/>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pic:cNvPicPr>
                            <a:picLocks noChangeAspect="1"/>
                          </pic:cNvPicPr>
                        </pic:nvPicPr>
                        <pic:blipFill rotWithShape="1">
                          <a:blip r:embed="rId29"/>
                          <a:srcRect b="10923"/>
                          <a:stretch/>
                        </pic:blipFill>
                        <pic:spPr bwMode="auto">
                          <a:xfrm>
                            <a:off x="0" y="0"/>
                            <a:ext cx="3990284" cy="3202185"/>
                          </a:xfrm>
                          <a:prstGeom prst="rect">
                            <a:avLst/>
                          </a:prstGeom>
                          <a:ln>
                            <a:noFill/>
                          </a:ln>
                          <a:extLst>
                            <a:ext uri="{53640926-AAD7-44D8-BBD7-CCE9431645EC}">
                              <a14:shadowObscured xmlns:a14="http://schemas.microsoft.com/office/drawing/2010/main"/>
                            </a:ext>
                          </a:extLst>
                        </pic:spPr>
                      </pic:pic>
                    </a:graphicData>
                  </a:graphic>
                </wp:inline>
              </w:drawing>
            </w:r>
          </w:p>
          <w:p w14:paraId="670E0E01" w14:textId="6611669C" w:rsidR="0031651C" w:rsidRPr="00143CB6" w:rsidRDefault="0031651C" w:rsidP="00437F65">
            <w:pPr>
              <w:pStyle w:val="Caption"/>
              <w:rPr>
                <w:rFonts w:cstheme="minorHAnsi"/>
                <w:sz w:val="22"/>
                <w:szCs w:val="22"/>
                <w:lang w:val="en-GB"/>
              </w:rPr>
            </w:pPr>
            <w:r w:rsidRPr="00143CB6">
              <w:rPr>
                <w:rFonts w:cstheme="minorHAnsi"/>
                <w:sz w:val="22"/>
                <w:szCs w:val="22"/>
                <w:lang w:val="en-GB"/>
              </w:rPr>
              <w:t>Figure 7: European emissions of Sulphur dioxide (black), nitrogen oxides (green) and ammonia (blue), 1880-2020, adapted from Grennfelt et al. (2020)</w:t>
            </w:r>
          </w:p>
          <w:p w14:paraId="213C2291" w14:textId="77777777" w:rsidR="0031651C" w:rsidRPr="00143CB6" w:rsidRDefault="0031651C" w:rsidP="00437F65">
            <w:pPr>
              <w:spacing w:after="120"/>
              <w:ind w:left="360"/>
              <w:jc w:val="both"/>
              <w:rPr>
                <w:rFonts w:asciiTheme="minorHAnsi" w:hAnsiTheme="minorHAnsi" w:cstheme="minorHAnsi"/>
                <w:sz w:val="22"/>
                <w:szCs w:val="22"/>
                <w:lang w:val="en-GB"/>
              </w:rPr>
            </w:pPr>
          </w:p>
          <w:p w14:paraId="1B06E53A" w14:textId="77777777" w:rsidR="0031651C" w:rsidRPr="00143CB6" w:rsidRDefault="0031651C" w:rsidP="0031651C">
            <w:pPr>
              <w:pStyle w:val="ListParagraph"/>
              <w:numPr>
                <w:ilvl w:val="0"/>
                <w:numId w:val="38"/>
              </w:numPr>
              <w:spacing w:after="120" w:line="360" w:lineRule="auto"/>
              <w:ind w:left="410" w:hanging="334"/>
              <w:rPr>
                <w:rFonts w:asciiTheme="minorHAnsi" w:hAnsiTheme="minorHAnsi" w:cstheme="minorHAnsi"/>
                <w:szCs w:val="22"/>
              </w:rPr>
            </w:pPr>
            <w:r w:rsidRPr="00143CB6">
              <w:rPr>
                <w:rFonts w:asciiTheme="minorHAnsi" w:hAnsiTheme="minorHAnsi" w:cstheme="minorHAnsi"/>
                <w:b/>
                <w:bCs/>
                <w:szCs w:val="22"/>
              </w:rPr>
              <w:t xml:space="preserve">Farmed salmonid aquaculture </w:t>
            </w:r>
          </w:p>
          <w:p w14:paraId="72949FA9" w14:textId="2BC50232" w:rsidR="0031651C" w:rsidRPr="00143CB6" w:rsidRDefault="0031651C" w:rsidP="00437F65">
            <w:pPr>
              <w:spacing w:after="120"/>
              <w:ind w:left="36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Farmed salmonid aquaculture pose a recognized threat on wild salmon populations where it occurs (Norway, OSPAR </w:t>
            </w:r>
            <w:r w:rsidR="006029F8">
              <w:rPr>
                <w:rFonts w:asciiTheme="minorHAnsi" w:hAnsiTheme="minorHAnsi" w:cstheme="minorHAnsi"/>
                <w:sz w:val="22"/>
                <w:szCs w:val="22"/>
                <w:lang w:val="en-GB"/>
              </w:rPr>
              <w:t xml:space="preserve">Regions </w:t>
            </w:r>
            <w:r w:rsidRPr="00143CB6">
              <w:rPr>
                <w:rFonts w:asciiTheme="minorHAnsi" w:hAnsiTheme="minorHAnsi" w:cstheme="minorHAnsi"/>
                <w:sz w:val="22"/>
                <w:szCs w:val="22"/>
                <w:lang w:val="en-GB"/>
              </w:rPr>
              <w:t>I &amp; II; Scotland &amp; Ireland, OSPAR</w:t>
            </w:r>
            <w:r w:rsidR="006029F8">
              <w:rPr>
                <w:rFonts w:asciiTheme="minorHAnsi" w:hAnsiTheme="minorHAnsi" w:cstheme="minorHAnsi"/>
                <w:sz w:val="22"/>
                <w:szCs w:val="22"/>
                <w:lang w:val="en-GB"/>
              </w:rPr>
              <w:t xml:space="preserve"> Region</w:t>
            </w:r>
            <w:r w:rsidRPr="00143CB6">
              <w:rPr>
                <w:rFonts w:asciiTheme="minorHAnsi" w:hAnsiTheme="minorHAnsi" w:cstheme="minorHAnsi"/>
                <w:sz w:val="22"/>
                <w:szCs w:val="22"/>
                <w:lang w:val="en-GB"/>
              </w:rPr>
              <w:t xml:space="preserve"> III). Primary impacts include the effects of sea lice on post-smolts and genetic introgression by fish farm escapes which may negatively affect salmon health and survival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{"citationID":"NTW4PoQM","properties":{"formattedCitation":"(ICES, 2016)","plainCitation":"(ICES, 2016)","noteIndex":0},"citationItems":[{"id":18325,"uris":["http://zotero.org/users/1945633/items/SZHYPFNS"],"uri":["http://zotero.org/users/1945633/items/SZHYPFNS"],"itemData":{"id":18325,"type":"report","language":"en","source":"Zotero","title":"Report of the Workshop to address the NASCO request for advice on possible effects of salmonid aquaculture on wild Atlantic salmon populations in the North Atlantic (WKCULEF), 1-3 March 2016, Charlottenlund, Denmark. ICES CM 2016/ACOM:42. 44 pp.","author":[{"family":"ICES","given":""}],"issued":{"date-parts":[["2016"]]}}}],"schema":"https://github.com/citation-style-language/schema/raw/master/csl-citation.json"}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(ICES, 2016)</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There is currently no known threat of salmon farming in OSPAR </w:t>
            </w:r>
            <w:r w:rsidR="006029F8">
              <w:rPr>
                <w:rFonts w:asciiTheme="minorHAnsi" w:hAnsiTheme="minorHAnsi" w:cstheme="minorHAnsi"/>
                <w:sz w:val="22"/>
                <w:szCs w:val="22"/>
                <w:lang w:val="en-GB"/>
              </w:rPr>
              <w:t>R</w:t>
            </w:r>
            <w:r w:rsidRPr="00143CB6">
              <w:rPr>
                <w:rFonts w:asciiTheme="minorHAnsi" w:hAnsiTheme="minorHAnsi" w:cstheme="minorHAnsi"/>
                <w:sz w:val="22"/>
                <w:szCs w:val="22"/>
                <w:lang w:val="en-GB"/>
              </w:rPr>
              <w:t>egion IV.</w:t>
            </w:r>
          </w:p>
          <w:p w14:paraId="4ABDFC12" w14:textId="3FF21274" w:rsidR="0031651C" w:rsidRPr="00143CB6" w:rsidRDefault="0031651C" w:rsidP="0031651C">
            <w:pPr>
              <w:pStyle w:val="ListParagraph"/>
              <w:numPr>
                <w:ilvl w:val="0"/>
                <w:numId w:val="38"/>
              </w:numPr>
              <w:spacing w:after="120" w:line="360" w:lineRule="auto"/>
              <w:ind w:left="410" w:hanging="334"/>
              <w:rPr>
                <w:rFonts w:asciiTheme="minorHAnsi" w:hAnsiTheme="minorHAnsi" w:cstheme="minorHAnsi"/>
                <w:szCs w:val="22"/>
              </w:rPr>
            </w:pPr>
            <w:r w:rsidRPr="00143CB6">
              <w:rPr>
                <w:rFonts w:asciiTheme="minorHAnsi" w:hAnsiTheme="minorHAnsi" w:cstheme="minorHAnsi"/>
                <w:b/>
                <w:bCs/>
                <w:szCs w:val="22"/>
              </w:rPr>
              <w:t>Non-native salmonid invasion</w:t>
            </w:r>
          </w:p>
          <w:p w14:paraId="757C2B1B" w14:textId="3E8479FC" w:rsidR="0031651C" w:rsidRPr="00143CB6" w:rsidRDefault="0031651C" w:rsidP="00437F65">
            <w:pPr>
              <w:spacing w:after="120"/>
              <w:ind w:left="360"/>
              <w:jc w:val="both"/>
              <w:rPr>
                <w:rFonts w:asciiTheme="minorHAnsi" w:eastAsiaTheme="minorEastAsia" w:hAnsiTheme="minorHAnsi" w:cstheme="minorHAnsi"/>
                <w:sz w:val="22"/>
                <w:szCs w:val="22"/>
                <w:lang w:val="en-GB"/>
              </w:rPr>
            </w:pPr>
            <w:r w:rsidRPr="00143CB6">
              <w:rPr>
                <w:rFonts w:asciiTheme="minorHAnsi" w:hAnsiTheme="minorHAnsi" w:cstheme="minorHAnsi"/>
                <w:sz w:val="22"/>
                <w:szCs w:val="22"/>
                <w:lang w:val="en-GB"/>
              </w:rPr>
              <w:t xml:space="preserve">Despite being captured in European rivers sporadically since 1960, since 2017 there have been numerous reports of significant numbers of Pink salmon entering Atlantic salmon rivers in several countries within the OSPAR </w:t>
            </w:r>
            <w:r w:rsidR="00202B75">
              <w:rPr>
                <w:rFonts w:asciiTheme="minorHAnsi" w:hAnsiTheme="minorHAnsi" w:cstheme="minorHAnsi"/>
                <w:sz w:val="22"/>
                <w:szCs w:val="22"/>
                <w:lang w:val="en-GB"/>
              </w:rPr>
              <w:t>R</w:t>
            </w:r>
            <w:r w:rsidRPr="00143CB6">
              <w:rPr>
                <w:rFonts w:asciiTheme="minorHAnsi" w:hAnsiTheme="minorHAnsi" w:cstheme="minorHAnsi"/>
                <w:sz w:val="22"/>
                <w:szCs w:val="22"/>
                <w:lang w:val="en-GB"/>
              </w:rPr>
              <w:t xml:space="preserve">egions : Norway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{"citationID":"EpkvqyGd","properties":{"formattedCitation":"(Sandlund et al., 2019)","plainCitation":"(Sandlund et al., 2019)","noteIndex":0},"citationItems":[{"id":"HFN45aOe/ZSliNT34","uris":["http://zotero.org/users/local/6PJuduYe/items/BMB75TM8"],"uri":["http://zotero.org/users/local/6PJuduYe/items/BMB75TM8"],"itemData":{"id":528,"type":"article-journal","abstract":"In 2017, Norway experienced an invasion of the Pacific salmonid pink salmon (Oncorhynchus gorbuscha) in numbers never before seen in rivers all along the coast. Significant numbers were also caught in other parts of northwestern Europe. Pink salmon has been observed in variable numbers in Norwegian waters in the summer and autumn of most years since 1960, after the first successful Russian introduction of pink salmon fry in rivers draining to the White Sea in northwest Russia in 1959. With the exception of 1960, pink salmon have been most abundant in odd years, based on the odd-year broodline of the 2-year life salmonid. Even-year fish has generally been less abundant, but in recent years, significant numbers of this broodline have also been caught. In this paper we review the available information on pink salmon in Norwegian rivers and discuss (1) to what extent the presence of this species in Norway has been driven by Russian introductions and natural reproduction in Russian, and lately in Norwegian, rivers, and (2) the likelihood of reproducing populations of pink salmon being established in more Norwegian rivers. Considering the continued propagule pressure in terms of adult pink salmon entering and spawning in Norwegian rivers, it is puzzling that self-propagating populations apparently only have been established in some rivers in the northernmost part of the country. The potential impact of pink salmon on native salmonids and river ecosystems is discussed briefly. Extensive research is required to understand the mechanisms that determine the fate of pink salmon as an alien species, and specifically the possible impact of pink salmon on native salmonids and the environment in the recipient rivers and in the ocean.","container-title":"Biological Invasions","DOI":"10.1007/s10530-018-1904-z","ISSN":"1573-1464","issue":"4","journalAbbreviation":"Biol Invasions","language":"en","page":"1033-1054","source":"Springer Link","title":"Pink salmon in Norway: the reluctant invader","title-short":"Pink salmon in Norway","volume":"21","author":[{"family":"Sandlund","given":"Odd Terje"},{"family":"Berntsen","given":"Henrik Hårdensson"},{"family":"Fiske","given":"Peder"},{"family":"Kuusela","given":"Jorma"},{"family":"Muladal","given":"Rune"},{"family":"Niemelä","given":"Eero"},{"family":"Uglem","given":"Ingebrigt"},{"family":"Forseth","given":"Torbjørn"},{"family":"Mo","given":"Tor Atle"},{"family":"Thorstad","given":"Eva B."},{"family":"Veselov","given":"Alexey E."},{"family":"Vollset","given":"Knut Wiik"},{"family":"Zubchenko","given":"Alexander V."}],"issued":{"date-parts":[["2019",4,1]]}}}],"schema":"https://github.com/citation-style-language/schema/raw/master/csl-citation.json"}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(Sandlund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Scotland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{"citationID":"HZGZ70O1","properties":{"formattedCitation":"(Armstrong et al., 2018; Copp, G. H, 2017)","plainCitation":"(Armstrong et al., 2018; Copp, G. H, 2017)","noteIndex":0},"citationItems":[{"id":"HFN45aOe/hVYYa8Lo","uris":["http://zotero.org/users/local/6PJuduYe/items/JMPMAJTK"],"uri":["http://zotero.org/users/local/6PJuduYe/items/JMPMAJTK"],"itemData":{"id":530,"type":"article-journal","container-title":"Journal of Fish Biology","DOI":"10.1111/jfb.13680","ISSN":"00221112","issue":"1","journalAbbreviation":"J Fish Biol","language":"en","page":"8-11","source":"DOI.org (Crossref)","title":"The Scottish invasion of pink salmon in 2017","volume":"93","author":[{"family":"Armstrong","given":"John D."},{"family":"Bean","given":"Colin W."},{"family":"Wells","given":"Alan"}],"issued":{"date-parts":[["2018",7]]}}},{"id":"HFN45aOe/jpwG58I5","uris":["http://zotero.org/users/local/6PJuduYe/items/6M4S4ZWS"],"uri":["http://zotero.org/users/local/6PJuduYe/items/6M4S4ZWS"],"itemData":{"id":494,"type":"webpage","title":"GB Non-native Species Rapid Risk Assessment (NRRA): Rapid Risk Assessment of: Oncorhynchus gorbuscha (Walbaum) (pink or humpback salmon).","URL":"https://www.cefas.co.uk/media/191673/cefas_rapidriskassessment_pinksalmon_05-09-17.pdf","author":[{"family":"Copp, G. H","given":""}],"accessed":{"date-parts":[["2021",9,6]]},"issued":{"date-parts":[["2017"]]}}}],"schema":"https://github.com/citation-style-language/schema/raw/master/csl-citation.json"}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(Armstrong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2018; Copp, G. H, 2017)</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Ireland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{"citationID":"wd2FE2hJ","properties":{"formattedCitation":"(Millane et al., 2019)","plainCitation":"(Millane et al., 2019)","noteIndex":0},"citationItems":[{"id":18395,"uris":["http://zotero.org/users/1945633/items/HF72257W"],"uri":["http://zotero.org/users/1945633/items/HF72257W"],"itemData":{"id":18395,"type":"article-journal","container-title":"Journal of Fish Biology","DOI":"10.1111/jfb.13994","ISSN":"0022-1112, 1095-8649","issue":"2","journalAbbreviation":"J Fish Biol","language":"en","page":"651-654","source":"DOI.org (Crossref)","title":"Unprecedented widespread occurrence of Pink Salmon Oncorhynchus gorbuscha in Ireland in 2017","title-short":"Unprecedented widespread occurrence of Pink Salmon &lt;span style=\"font-variant","volume":"95","author":[{"family":"Millane","given":"Michael"},{"family":"Walsh","given":"Laura"},{"family":"Roche","given":"William K."},{"family":"Gargan","given":"Patrick G."}],"issued":{"date-parts":[["2019",8]]}}}],"schema":"https://github.com/citation-style-language/schema/raw/master/csl-citation.json"}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(Millane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2019)</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and France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{"citationID":"nIfX9yPp","properties":{"formattedCitation":"(Beaulaton et al., 2021)","plainCitation":"(Beaulaton et al., 2021)","noteIndex":0},"citationItems":[{"id":"HFN45aOe/CKWjExkM","uris":["http://zotero.org/users/local/6PJuduYe/items/WIAVX9M3"],"uri":["http://zotero.org/users/local/6PJuduYe/items/WIAVX9M3"],"itemData":{"id":554,"type":"thesis","abstract":"Le saumon rose (Oncorhynchus gorbuscha, Walbaum, 1792) est l’espèce la plus abondante des 6 espèces de saumon du pacifique. Elle a un cycle de vie d’une durée quasi-stricte de 2 ans. Les adultes ont en moyenne une taille de 50 cm pour un poids moyen de 2 kg. L’espèce a été introduite au milieu du XXe siècle dans les eaux européennes. La souche la plus importante est celle des années impaires. La vague de migration de l’année 2017 a été particulièrement abondante et a touché des zones géographiques jusqu’alors non colonisées, dont la France. Afin de surveiller la progression de l’espèce en France, nous indiquons la conduite à tenir en cas d’observation ou de capture.","genre":"report","language":"fr","note":"page: 25","publisher":"OFB ; INRAE ; INSTITUT AGRO ; UPPA","source":"hal.archives-ouvertes.fr","title":"Le Saumon Rose (Oncorhynchus gorbuscha, Walbaum, 1792). Conduite à tenir et éléments d'écologie.","URL":"https://hal.archives-ouvertes.fr/hal-03287600","author":[{"family":"Beaulaton","given":"Laurent"},{"family":"Josset","given":"Quentin"},{"family":"Baglinière","given":"Jean-Luc"}],"accessed":{"date-parts":[["2021",10,1]]},"issued":{"date-parts":[["2021"]]}}}],"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(Beaulaton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However, population-level impacts from competition with Atlantic salmon is still unclear and more data and studies are needed, with a growing concern under climate change (</w:t>
            </w:r>
            <w:r w:rsidRPr="00143CB6">
              <w:rPr>
                <w:rFonts w:asciiTheme="minorHAnsi" w:hAnsiTheme="minorHAnsi" w:cstheme="minorHAnsi"/>
                <w:i/>
                <w:iCs/>
                <w:sz w:val="22"/>
                <w:szCs w:val="22"/>
                <w:lang w:val="en-GB"/>
              </w:rPr>
              <w:t>i.e.</w:t>
            </w:r>
            <w:r w:rsidRPr="00143CB6">
              <w:rPr>
                <w:rFonts w:asciiTheme="minorHAnsi" w:hAnsiTheme="minorHAnsi" w:cstheme="minorHAnsi"/>
                <w:sz w:val="22"/>
                <w:szCs w:val="22"/>
                <w:lang w:val="en-GB"/>
              </w:rPr>
              <w:t xml:space="preserve"> expansion of distribution of pink salmon). </w:t>
            </w:r>
          </w:p>
        </w:tc>
      </w:tr>
      <w:tr w:rsidR="0031651C" w:rsidRPr="00143CB6" w14:paraId="4D05CFE4" w14:textId="77777777" w:rsidTr="10215BEE">
        <w:tc>
          <w:tcPr>
            <w:tcW w:w="2451" w:type="dxa"/>
          </w:tcPr>
          <w:p w14:paraId="7865B6B2"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Measures that address key pressures from human activities or conserve the species/habitat</w:t>
            </w:r>
          </w:p>
          <w:p w14:paraId="711ED02F"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46258F4A" w14:textId="75B02A79" w:rsidR="0031651C" w:rsidRPr="00143CB6" w:rsidRDefault="0031651C" w:rsidP="00437F65">
            <w:pPr>
              <w:spacing w:after="120"/>
              <w:ind w:right="411"/>
              <w:jc w:val="both"/>
              <w:rPr>
                <w:rFonts w:asciiTheme="minorHAnsi" w:hAnsiTheme="minorHAnsi" w:cstheme="minorHAnsi"/>
                <w:sz w:val="22"/>
                <w:szCs w:val="22"/>
                <w:lang w:val="en-GB"/>
              </w:rPr>
            </w:pPr>
            <w:bookmarkStart w:id="3" w:name="_Hlk97818115"/>
            <w:r w:rsidRPr="00143CB6">
              <w:rPr>
                <w:rFonts w:asciiTheme="minorHAnsi" w:hAnsiTheme="minorHAnsi" w:cstheme="minorHAnsi"/>
                <w:sz w:val="22"/>
                <w:szCs w:val="22"/>
                <w:lang w:val="en-GB"/>
              </w:rPr>
              <w:t>The following list of measures was derived from the Contracting Parties implementation reporting</w:t>
            </w:r>
            <w:r w:rsidR="001C2040">
              <w:rPr>
                <w:rFonts w:asciiTheme="minorHAnsi" w:hAnsiTheme="minorHAnsi" w:cstheme="minorHAnsi"/>
                <w:sz w:val="22"/>
                <w:szCs w:val="22"/>
                <w:lang w:val="en-GB"/>
              </w:rPr>
              <w:t>,</w:t>
            </w:r>
            <w:r w:rsidRPr="00143CB6">
              <w:rPr>
                <w:rFonts w:asciiTheme="minorHAnsi" w:hAnsiTheme="minorHAnsi" w:cstheme="minorHAnsi"/>
                <w:sz w:val="22"/>
                <w:szCs w:val="22"/>
                <w:lang w:val="en-GB"/>
              </w:rPr>
              <w:t xml:space="preserve"> comple</w:t>
            </w:r>
            <w:r w:rsidR="001C2040">
              <w:rPr>
                <w:rFonts w:asciiTheme="minorHAnsi" w:hAnsiTheme="minorHAnsi" w:cstheme="minorHAnsi"/>
                <w:sz w:val="22"/>
                <w:szCs w:val="22"/>
                <w:lang w:val="en-GB"/>
              </w:rPr>
              <w:t>men</w:t>
            </w:r>
            <w:r w:rsidRPr="00143CB6">
              <w:rPr>
                <w:rFonts w:asciiTheme="minorHAnsi" w:hAnsiTheme="minorHAnsi" w:cstheme="minorHAnsi"/>
                <w:sz w:val="22"/>
                <w:szCs w:val="22"/>
                <w:lang w:val="en-GB"/>
              </w:rPr>
              <w:t>ted by national expert additions.</w:t>
            </w:r>
          </w:p>
          <w:bookmarkEnd w:id="3"/>
          <w:p w14:paraId="29F6D93C" w14:textId="77777777" w:rsidR="0031651C" w:rsidRPr="00143CB6" w:rsidRDefault="0031651C" w:rsidP="0031651C">
            <w:pPr>
              <w:pStyle w:val="ListParagraph"/>
              <w:numPr>
                <w:ilvl w:val="0"/>
                <w:numId w:val="44"/>
              </w:numPr>
              <w:spacing w:after="120" w:line="360" w:lineRule="auto"/>
              <w:rPr>
                <w:rFonts w:asciiTheme="minorHAnsi" w:hAnsiTheme="minorHAnsi" w:cstheme="minorHAnsi"/>
                <w:szCs w:val="22"/>
              </w:rPr>
            </w:pPr>
            <w:r w:rsidRPr="00143CB6">
              <w:rPr>
                <w:rFonts w:asciiTheme="minorHAnsi" w:hAnsiTheme="minorHAnsi" w:cstheme="minorHAnsi"/>
                <w:szCs w:val="22"/>
              </w:rPr>
              <w:t xml:space="preserve">All OSPAR Contracting Parties with salmon stocks have measures in place to protect salmon stocks, as in OSPAR Recommendation 2016/3. Most of these actions are described in the Implementation Plans for NASCO for those Contracting Parties that are also NASCO members (see </w:t>
            </w:r>
            <w:hyperlink r:id="rId30">
              <w:r w:rsidRPr="00143CB6">
                <w:rPr>
                  <w:rStyle w:val="Hyperlink"/>
                  <w:rFonts w:asciiTheme="minorHAnsi" w:hAnsiTheme="minorHAnsi" w:cstheme="minorHAnsi"/>
                  <w:szCs w:val="22"/>
                </w:rPr>
                <w:t>https://nasco.int/conservation/implementation-plans-and-reporting/</w:t>
              </w:r>
            </w:hyperlink>
            <w:r w:rsidRPr="00143CB6">
              <w:rPr>
                <w:rStyle w:val="Hyperlink"/>
                <w:rFonts w:asciiTheme="minorHAnsi" w:hAnsiTheme="minorHAnsi" w:cstheme="minorHAnsi"/>
                <w:szCs w:val="22"/>
              </w:rPr>
              <w:t>)</w:t>
            </w:r>
            <w:r w:rsidRPr="00143CB6">
              <w:rPr>
                <w:rFonts w:asciiTheme="minorHAnsi" w:hAnsiTheme="minorHAnsi" w:cstheme="minorHAnsi"/>
                <w:szCs w:val="22"/>
              </w:rPr>
              <w:t xml:space="preserve">. Measures include fish passage facilities or removing obstacles to migration, recovering or introducing spawning gravels, restoring other habitats. </w:t>
            </w:r>
          </w:p>
          <w:p w14:paraId="7DF893FB" w14:textId="77777777" w:rsidR="0031651C" w:rsidRPr="00143CB6" w:rsidRDefault="0031651C" w:rsidP="0031651C">
            <w:pPr>
              <w:pStyle w:val="ListParagraph"/>
              <w:numPr>
                <w:ilvl w:val="0"/>
                <w:numId w:val="44"/>
              </w:numPr>
              <w:spacing w:after="120" w:line="360" w:lineRule="auto"/>
              <w:rPr>
                <w:rFonts w:asciiTheme="minorHAnsi" w:hAnsiTheme="minorHAnsi" w:cstheme="minorHAnsi"/>
                <w:szCs w:val="22"/>
              </w:rPr>
            </w:pPr>
            <w:r w:rsidRPr="00143CB6">
              <w:rPr>
                <w:rFonts w:asciiTheme="minorHAnsi" w:hAnsiTheme="minorHAnsi" w:cstheme="minorHAnsi"/>
                <w:szCs w:val="22"/>
              </w:rPr>
              <w:t>Contracting Parties report annual stock assessments based on substantial data collection and analyses to ICES.</w:t>
            </w:r>
          </w:p>
          <w:p w14:paraId="4452056F" w14:textId="77777777" w:rsidR="0031651C" w:rsidRPr="00143CB6" w:rsidRDefault="0031651C" w:rsidP="0031651C">
            <w:pPr>
              <w:pStyle w:val="ListParagraph"/>
              <w:numPr>
                <w:ilvl w:val="0"/>
                <w:numId w:val="38"/>
              </w:numPr>
              <w:spacing w:after="120" w:line="360" w:lineRule="auto"/>
              <w:jc w:val="left"/>
              <w:rPr>
                <w:rFonts w:asciiTheme="minorHAnsi" w:hAnsiTheme="minorHAnsi" w:cstheme="minorHAnsi"/>
                <w:szCs w:val="22"/>
              </w:rPr>
            </w:pPr>
            <w:r w:rsidRPr="00143CB6">
              <w:rPr>
                <w:rFonts w:asciiTheme="minorHAnsi" w:hAnsiTheme="minorHAnsi" w:cstheme="minorHAnsi"/>
                <w:szCs w:val="22"/>
              </w:rPr>
              <w:t>All OSPAR Contracting Parties have legislative controls that seek to manage targeted salmon fisheries exploitation at levels that are sustainable</w:t>
            </w:r>
          </w:p>
          <w:p w14:paraId="19A759E7" w14:textId="77777777" w:rsidR="0031651C" w:rsidRPr="00143CB6" w:rsidRDefault="0031651C" w:rsidP="0031651C">
            <w:pPr>
              <w:pStyle w:val="ListParagraph"/>
              <w:numPr>
                <w:ilvl w:val="0"/>
                <w:numId w:val="38"/>
              </w:numPr>
              <w:spacing w:after="120" w:line="360" w:lineRule="auto"/>
              <w:jc w:val="left"/>
              <w:rPr>
                <w:rFonts w:asciiTheme="minorHAnsi" w:eastAsiaTheme="minorEastAsia" w:hAnsiTheme="minorHAnsi" w:cstheme="minorHAnsi"/>
                <w:szCs w:val="22"/>
              </w:rPr>
            </w:pPr>
            <w:r w:rsidRPr="00143CB6">
              <w:rPr>
                <w:rFonts w:asciiTheme="minorHAnsi" w:hAnsiTheme="minorHAnsi" w:cstheme="minorHAnsi"/>
                <w:szCs w:val="22"/>
              </w:rPr>
              <w:t xml:space="preserve">Most Contracting Parties have designated </w:t>
            </w:r>
            <w:r w:rsidRPr="00143CB6">
              <w:rPr>
                <w:rFonts w:asciiTheme="minorHAnsi" w:eastAsia="Calibri" w:hAnsiTheme="minorHAnsi" w:cstheme="minorHAnsi"/>
                <w:szCs w:val="22"/>
              </w:rPr>
              <w:t>Marine Protected Areas with Atlantic salmon as features</w:t>
            </w:r>
            <w:r w:rsidRPr="00143CB6">
              <w:rPr>
                <w:rFonts w:asciiTheme="minorHAnsi" w:hAnsiTheme="minorHAnsi" w:cstheme="minorHAnsi"/>
                <w:szCs w:val="22"/>
              </w:rPr>
              <w:t xml:space="preserve"> </w:t>
            </w:r>
          </w:p>
          <w:p w14:paraId="4430BFF2" w14:textId="77777777" w:rsidR="0031651C" w:rsidRPr="00143CB6" w:rsidRDefault="0031651C" w:rsidP="0031651C">
            <w:pPr>
              <w:pStyle w:val="ListParagraph"/>
              <w:numPr>
                <w:ilvl w:val="0"/>
                <w:numId w:val="38"/>
              </w:numPr>
              <w:spacing w:after="120" w:line="360" w:lineRule="auto"/>
              <w:jc w:val="left"/>
              <w:rPr>
                <w:rFonts w:asciiTheme="minorHAnsi" w:hAnsiTheme="minorHAnsi" w:cstheme="minorHAnsi"/>
                <w:szCs w:val="22"/>
              </w:rPr>
            </w:pPr>
            <w:r w:rsidRPr="00143CB6">
              <w:rPr>
                <w:rFonts w:asciiTheme="minorHAnsi" w:hAnsiTheme="minorHAnsi" w:cstheme="minorHAnsi"/>
                <w:szCs w:val="22"/>
              </w:rPr>
              <w:t xml:space="preserve">Parties undertake a range of research programs covering genetics, population structure, life history, migration route, key functional habitats, marine survival, population dynamic modelling, optimal management, etc. </w:t>
            </w:r>
          </w:p>
          <w:p w14:paraId="1D407644" w14:textId="77777777" w:rsidR="0031651C" w:rsidRPr="00143CB6" w:rsidRDefault="0031651C" w:rsidP="0031651C">
            <w:pPr>
              <w:pStyle w:val="ListParagraph"/>
              <w:numPr>
                <w:ilvl w:val="0"/>
                <w:numId w:val="38"/>
              </w:numPr>
              <w:spacing w:after="120" w:line="360" w:lineRule="auto"/>
              <w:jc w:val="left"/>
              <w:rPr>
                <w:rFonts w:asciiTheme="minorHAnsi" w:hAnsiTheme="minorHAnsi" w:cstheme="minorHAnsi"/>
                <w:szCs w:val="22"/>
              </w:rPr>
            </w:pPr>
            <w:r w:rsidRPr="00143CB6">
              <w:rPr>
                <w:rFonts w:asciiTheme="minorHAnsi" w:hAnsiTheme="minorHAnsi" w:cstheme="minorHAnsi"/>
                <w:szCs w:val="22"/>
              </w:rPr>
              <w:t xml:space="preserve">Parties have undertaken awareness raising projects at local (education), national or international levels (International Year of the Salmon, World Fish Migration Days, etc.). </w:t>
            </w:r>
          </w:p>
        </w:tc>
      </w:tr>
      <w:tr w:rsidR="0031651C" w:rsidRPr="00143CB6" w14:paraId="50A85578" w14:textId="77777777" w:rsidTr="10215BEE">
        <w:tc>
          <w:tcPr>
            <w:tcW w:w="2451" w:type="dxa"/>
          </w:tcPr>
          <w:p w14:paraId="730538B7"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Conclusion (including management considerations) </w:t>
            </w:r>
          </w:p>
          <w:p w14:paraId="2A5DAAFC"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66754B9A" w14:textId="10F3E361" w:rsidR="0031651C" w:rsidRPr="00143CB6" w:rsidRDefault="0031651C" w:rsidP="00437F65">
            <w:pPr>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For the last decade, since the last OSPAR assessment, this new assessment of Atlantic salmon reveals a poor situation at the scale of OSPAR </w:t>
            </w:r>
            <w:r w:rsidR="00B747BA">
              <w:rPr>
                <w:rFonts w:asciiTheme="minorHAnsi" w:hAnsiTheme="minorHAnsi" w:cstheme="minorHAnsi"/>
                <w:sz w:val="22"/>
                <w:szCs w:val="22"/>
                <w:lang w:val="en-GB"/>
              </w:rPr>
              <w:t>R</w:t>
            </w:r>
            <w:r w:rsidRPr="00143CB6">
              <w:rPr>
                <w:rFonts w:asciiTheme="minorHAnsi" w:hAnsiTheme="minorHAnsi" w:cstheme="minorHAnsi"/>
                <w:sz w:val="22"/>
                <w:szCs w:val="22"/>
                <w:lang w:val="en-GB"/>
              </w:rPr>
              <w:t xml:space="preserve">egions (I to IV). Studies of Atlantic salmon abundance suggested that the number of salmon is at best stable, but more often decreasing since 2010. There was also a common trend in the reduction of individual and population condition (loss of weight, length and reproductive potential) highlighted in all </w:t>
            </w:r>
            <w:r w:rsidR="00B747BA">
              <w:rPr>
                <w:rFonts w:asciiTheme="minorHAnsi" w:hAnsiTheme="minorHAnsi" w:cstheme="minorHAnsi"/>
                <w:sz w:val="22"/>
                <w:szCs w:val="22"/>
                <w:lang w:val="en-GB"/>
              </w:rPr>
              <w:t>R</w:t>
            </w:r>
            <w:r w:rsidRPr="00143CB6">
              <w:rPr>
                <w:rFonts w:asciiTheme="minorHAnsi" w:hAnsiTheme="minorHAnsi" w:cstheme="minorHAnsi"/>
                <w:sz w:val="22"/>
                <w:szCs w:val="22"/>
                <w:lang w:val="en-GB"/>
              </w:rPr>
              <w:t xml:space="preserve">egions although there is still a lack of data for many populations. </w:t>
            </w:r>
          </w:p>
          <w:p w14:paraId="3CE24CC7" w14:textId="79B471E0" w:rsidR="0031651C" w:rsidRPr="00143CB6" w:rsidRDefault="0031651C" w:rsidP="00437F65">
            <w:pPr>
              <w:rPr>
                <w:rFonts w:asciiTheme="minorHAnsi" w:hAnsiTheme="minorHAnsi" w:cstheme="minorHAnsi"/>
                <w:sz w:val="22"/>
                <w:szCs w:val="22"/>
                <w:lang w:val="en-GB"/>
              </w:rPr>
            </w:pPr>
            <w:r w:rsidRPr="00143CB6">
              <w:rPr>
                <w:rFonts w:asciiTheme="minorHAnsi" w:hAnsiTheme="minorHAnsi" w:cstheme="minorHAnsi"/>
                <w:sz w:val="22"/>
                <w:szCs w:val="22"/>
                <w:lang w:val="en-GB"/>
              </w:rPr>
              <w:t>However, more than</w:t>
            </w:r>
            <w:r w:rsidRPr="00143CB6">
              <w:rPr>
                <w:rFonts w:asciiTheme="minorHAnsi" w:eastAsia="Calibri" w:hAnsiTheme="minorHAnsi" w:cstheme="minorHAnsi"/>
                <w:sz w:val="22"/>
                <w:szCs w:val="22"/>
                <w:lang w:val="en-GB"/>
              </w:rPr>
              <w:t xml:space="preserve"> 2</w:t>
            </w:r>
            <w:r w:rsidR="007B453D">
              <w:rPr>
                <w:rFonts w:asciiTheme="minorHAnsi" w:eastAsia="Calibri" w:hAnsiTheme="minorHAnsi" w:cstheme="minorHAnsi"/>
                <w:sz w:val="22"/>
                <w:szCs w:val="22"/>
                <w:lang w:val="en-GB"/>
              </w:rPr>
              <w:t xml:space="preserve"> </w:t>
            </w:r>
            <w:r w:rsidRPr="00143CB6">
              <w:rPr>
                <w:rFonts w:asciiTheme="minorHAnsi" w:eastAsia="Calibri" w:hAnsiTheme="minorHAnsi" w:cstheme="minorHAnsi"/>
                <w:sz w:val="22"/>
                <w:szCs w:val="22"/>
                <w:lang w:val="en-GB"/>
              </w:rPr>
              <w:t xml:space="preserve">000 genetically distinct salmon populations are distributed in water courses flowing towards the North Atlantic Ocean </w:t>
            </w:r>
            <w:r w:rsidRPr="00143CB6">
              <w:rPr>
                <w:rFonts w:asciiTheme="minorHAnsi" w:eastAsia="Calibri" w:hAnsiTheme="minorHAnsi" w:cstheme="minorHAnsi"/>
                <w:sz w:val="22"/>
                <w:szCs w:val="22"/>
                <w:lang w:val="en-GB"/>
              </w:rPr>
              <w:fldChar w:fldCharType="begin"/>
            </w:r>
            <w:r w:rsidRPr="00143CB6">
              <w:rPr>
                <w:rFonts w:asciiTheme="minorHAnsi" w:eastAsia="Calibri" w:hAnsiTheme="minorHAnsi" w:cstheme="minorHAnsi"/>
                <w:sz w:val="22"/>
                <w:szCs w:val="22"/>
                <w:lang w:val="en-GB"/>
              </w:rPr>
              <w:instrText xml:space="preserve"> ADDIN ZOTERO_ITEM CSL_CITATION {"citationID":"tgVMGSm0","properties":{"formattedCitation":"(Verspoor et al., 2007)","plainCitation":"(Verspoor et al., 2007)","noteIndex":0},"citationItems":[{"id":18394,"uris":["http://zotero.org/users/1945633/items/Y4V45EQ3"],"uri":["http://zotero.org/users/1945633/items/Y4V45EQ3"],"itemData":{"id":18394,"type":"book","archive":"USGS Publications Warehouse","ISBN":"978-1-4051-1582-7","note":"DOI: 10.1002/9780470995846","publisher":"Blackwell Publishing Ltd.","title":"The atlantic salmon: Genetics, conservation and management","URL":"http://pubs.er.usgs.gov/publication/70186595","editor":[{"family":"Verspoor","given":"Eric"},{"family":"Stradmeyer","given":"Lee"},{"family":"Nielsen","given":"Jennifer L."}],"issued":{"date-parts":[["2007"]]}}}],"schema":"https://github.com/citation-style-language/schema/raw/master/csl-citation.json"} </w:instrText>
            </w:r>
            <w:r w:rsidRPr="00143CB6">
              <w:rPr>
                <w:rFonts w:asciiTheme="minorHAnsi" w:eastAsia="Calibri" w:hAnsiTheme="minorHAnsi" w:cstheme="minorHAnsi"/>
                <w:sz w:val="22"/>
                <w:szCs w:val="22"/>
                <w:lang w:val="en-GB"/>
              </w:rPr>
              <w:fldChar w:fldCharType="separate"/>
            </w:r>
            <w:r w:rsidRPr="00143CB6">
              <w:rPr>
                <w:rFonts w:asciiTheme="minorHAnsi" w:hAnsiTheme="minorHAnsi" w:cstheme="minorHAnsi"/>
                <w:sz w:val="22"/>
                <w:szCs w:val="22"/>
                <w:lang w:val="en-GB"/>
              </w:rPr>
              <w:t xml:space="preserve">(Verspoor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2007)</w:t>
            </w:r>
            <w:r w:rsidRPr="00143CB6">
              <w:rPr>
                <w:rFonts w:asciiTheme="minorHAnsi" w:eastAsia="Calibri" w:hAnsiTheme="minorHAnsi" w:cstheme="minorHAnsi"/>
                <w:sz w:val="22"/>
                <w:szCs w:val="22"/>
                <w:lang w:val="en-GB"/>
              </w:rPr>
              <w:fldChar w:fldCharType="end"/>
            </w:r>
            <w:r w:rsidRPr="00143CB6">
              <w:rPr>
                <w:rFonts w:asciiTheme="minorHAnsi" w:eastAsia="Calibri" w:hAnsiTheme="minorHAnsi" w:cstheme="minorHAnsi"/>
                <w:sz w:val="22"/>
                <w:szCs w:val="22"/>
                <w:lang w:val="en-GB"/>
              </w:rPr>
              <w:t>,</w:t>
            </w:r>
            <w:r w:rsidRPr="00143CB6">
              <w:rPr>
                <w:rFonts w:asciiTheme="minorHAnsi" w:hAnsiTheme="minorHAnsi" w:cstheme="minorHAnsi"/>
                <w:sz w:val="22"/>
                <w:szCs w:val="22"/>
                <w:lang w:val="en-GB"/>
              </w:rPr>
              <w:t xml:space="preserve"> and not all are experiencing similar trends or threats to the same extent. While there were successful efforts made on habitat restoration, enhancement of water quality and reintroduction programs (with success and failures), there is continuing concern about the expanding impacts of climate change on populations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{"citationID":"Tc9EQALv","properties":{"formattedCitation":"(Lennox et al., 2021; Thorstad et al., 2021)","plainCitation":"(Lennox et al., 2021; Thorstad et al., 2021)","noteIndex":0},"citationItems":[{"id":18393,"uris":["http://zotero.org/users/1945633/items/VI7HS92J"],"uri":["http://zotero.org/users/1945633/items/VI7HS92J"],"itemData":{"id":18393,"type":"article-journal","abstract":"Abstract\n            Atlantic salmon is often a focal species of restoration efforts throughout the north Atlantic and it is therefore an excellent case study for how best to design programmes to address and mitigate threats and correct population declines. This perspective is written to promote the work that has been accomplished towards restoration of Atlantic salmon populations and synthesize how we believe the lessons can be used effectively to support efforts by management agencies to restore populations. We reviewed where restoration is needed for Atlantic salmon, agreed on definitions for three levels of successful restoration, and then applied these criteria to 49 published papers focused on Atlantic salmon restoration. We identified 16 successful examples of restoration among 49 papers reviewed and discussed what interventions led to success versus failure. We then addressed key questions about when hatchery stocking should be used as part of a restoration measure and whether local restoration efforts are enough when these wide-ranging species encounter broad-scale changes in the north Atlantic, specifically related to issues of climate change and to marine survival. We advise to avoid restoration as much as possible by protecting and managing existing populations and when restoration is necessary, problems should be identified and addressed in partnership with river users. With appropriate resources and research to resolve ongoing mysteries, restoration of lost Atlantic salmon populations is absolutely feasible.","container-title":"ICES Journal of Marine Science","DOI":"10.1093/icesjms/fsab201","ISSN":"1054-3139, 1095-9289","language":"en","page":"fsab201","source":"DOI.org (Crossref)","title":"The quest for successful Atlantic salmon restoration: perspectives, priorities, and maxims","title-short":"The quest for successful Atlantic salmon restoration","author":[{"family":"Lennox","given":"Robert J"},{"family":"Alexandre","given":"Carlos M"},{"family":"Almeida","given":"Pedro R"},{"family":"Bailey","given":"Kevin M"},{"family":"Barlaup","given":"Bjørn T"},{"family":"Bøe","given":"Kristin"},{"family":"Breukelaar","given":"André"},{"family":"Erkinaro","given":"Jaakko"},{"family":"Forseth","given":"Torbjørn"},{"family":"Gabrielsen","given":"Sven-Erik"},{"family":"Halfyard","given":"Edmund"},{"family":"Hanssen","given":"Erlend M"},{"family":"Karlsson","given":"Sten"},{"family":"Koch","given":"Stephanie"},{"family":"Koed","given":"Anders"},{"family":"Langåker","given":"Roy M"},{"family":"Lo","given":"Håvard"},{"family":"Lucas","given":"Martyn C"},{"family":"Mahlum","given":"Shad"},{"family":"Perrier","given":"Charles"},{"family":"Pulg","given":"Ulrich"},{"family":"Sheehan","given":"Timothy"},{"family":"Skoglund","given":"Helge"},{"family":"Svenning","given":"Martin"},{"family":"Thorstad","given":"Eva B"},{"family":"Velle","given":"Gaute"},{"family":"Whoriskey","given":"Frederick G"},{"family":"Vollset","given":"Knut Wiik"}],"editor":[{"family":"Grabowski","given":"Jonathan"}],"issued":{"date-parts":[["2021",11,10]]}},"label":"page"},{"id":18326,"uris":["http://zotero.org/users/1945633/items/ZU3JPEX2"],"uri":["http://zotero.org/users/1945633/items/ZU3JPEX2"],"itemData":{"id":18326,"type":"article-journal","abstract":"Atlantic salmon populations have declined in recent decades. Many of the threats to the species during its freshwater and coastal residency periods are known, and management approaches are available to mitigate them. The global scale of climate change and altered ocean ecosystems make these threats more difficult to address. Managers need to be aware that promoting strong, healthy, and resilient wild populations migrating from rivers is the optimal approach currently to reduce the impacts of changing ecosystems and low marine survival. We argue that a fundamental strategy should be to ensure that the highest number of wild smolts in the best condition leave from rivers and coastal areas to the ocean. There is great scope for water quality, river regulation, migration barriers, and physical river habitat improvements. Maintenance of genetic integrity and diversity of wild populations by eliminating interbreeding with escaped farmed salmon, eliminating poorly planned stocking, and reducing impacts that reduce population sizes to dangerously low levels will support the ability of Atlantic salmon to adapt to changing environments. Reducing the impacts from aquaculture and other human activities in coastal areas can greatly increase marine survival in affected areas. As most of the threats to wild salmon are the result of human activities, a focus on human dimensions and improved communication, from scientific and management perspectives, needs to be increasingly emphasized. When political and social will are coupled with adequate resources, managers often have the tools to mitigate many of the threats to wild salmon.","container-title":"Aquatic Conservation: Marine and Freshwater Ecosystems","DOI":"10.1002/aqc.3624","ISSN":"1099-0755","issue":"9","language":"en","note":"_eprint: https://onlinelibrary.wiley.com/doi/pdf/10.1002/aqc.3624","page":"2654-2665","source":"Wiley Online Library","title":"Atlantic salmon in a rapidly changing environment—Facing the challenges of reduced marine survival and climate change","volume":"31","author":[{"family":"Thorstad","given":"Eva B."},{"family":"Bliss","given":"Doug"},{"family":"Breau","given":"Cindy"},{"family":"Damon-Randall","given":"Kim"},{"family":"Sundt-Hansen","given":"Line E."},{"family":"Hatfield","given":"Emma M.C."},{"family":"Horsburgh","given":"Grant"},{"family":"Hansen","given":"Heidi"},{"family":"Maoiléidigh","given":"Niall Ó."},{"family":"Sheehan","given":"Timothy"},{"family":"Sutton","given":"Stephen G."}],"issued":{"date-parts":[["2021"]]}},"label":"page"}],"schema":"https://github.com/citation-style-language/schema/raw/master/csl-citation.json"}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(Lennox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xml:space="preserve">, 2021; Thorstad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2021)</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xml:space="preserve">. For example, the loss of thermal suitability of riverine habitats is indeed a growing threat and managers may need to adapt their future mitigation measures in some areas, </w:t>
            </w:r>
            <w:r w:rsidRPr="00143CB6">
              <w:rPr>
                <w:rFonts w:asciiTheme="minorHAnsi" w:hAnsiTheme="minorHAnsi" w:cstheme="minorHAnsi"/>
                <w:i/>
                <w:iCs/>
                <w:sz w:val="22"/>
                <w:szCs w:val="22"/>
                <w:lang w:val="en-GB"/>
              </w:rPr>
              <w:t>e.g.</w:t>
            </w:r>
            <w:r w:rsidRPr="00143CB6">
              <w:rPr>
                <w:rFonts w:asciiTheme="minorHAnsi" w:hAnsiTheme="minorHAnsi" w:cstheme="minorHAnsi"/>
                <w:sz w:val="22"/>
                <w:szCs w:val="22"/>
                <w:lang w:val="en-GB"/>
              </w:rPr>
              <w:t xml:space="preserve"> planting riparian trees to provide solar shading, but this area requires a detailed understanding of the spatio-temporal variability of the phenomena affecting salmonids and their environments </w:t>
            </w:r>
            <w:r w:rsidRPr="00143CB6">
              <w:rPr>
                <w:rFonts w:asciiTheme="minorHAnsi" w:hAnsiTheme="minorHAnsi" w:cstheme="minorHAnsi"/>
                <w:sz w:val="22"/>
                <w:szCs w:val="22"/>
                <w:lang w:val="en-GB"/>
              </w:rPr>
              <w:fldChar w:fldCharType="begin"/>
            </w:r>
            <w:r w:rsidRPr="00143CB6">
              <w:rPr>
                <w:rFonts w:asciiTheme="minorHAnsi" w:hAnsiTheme="minorHAnsi" w:cstheme="minorHAnsi"/>
                <w:sz w:val="22"/>
                <w:szCs w:val="22"/>
                <w:lang w:val="en-GB"/>
              </w:rPr>
              <w:instrText xml:space="preserve"> ADDIN ZOTERO_ITEM CSL_CITATION {"citationID":"myhfJdKt","properties":{"formattedCitation":"(Jackson et al., 2018)","plainCitation":"(Jackson et al., 2018)","noteIndex":0},"citationItems":[{"id":"HFN45aOe/SiVMeZM4","uris":["http://zotero.org/users/local/6PJuduYe/items/K9469WKK"],"uri":["http://zotero.org/users/local/6PJuduYe/items/K9469WKK"],"itemData":{"id":558,"type":"article-journal","abstract":"The thermal suitability of riverine habitats for cold water adapted species may be reduced under climate change. Riparian tree planting is a practical climate change mitigation measure, but it is often unclear where to focus effort for maximum benefit. Recent developments in data collection, monitoring and statistical methods have facilitated the development of increasingly sophisticated river temperature models capable of predicting spatial variability at large scales appropriate to management. In parallel, improvements in temporal river temperature models have increased the accuracy of temperature predictions at individual sites. This study developed a novel large scale spatio-temporal model of maximum daily river temperature (Twmax) for Scotland that predicts variability in both river temperature and climate sensitivity. Twmax was modelled as a linear function of maximum daily air temperature (Tamax), with the slope and intercept allowed to vary as a smooth function of day of the year (DoY) and further modified by landscape covariates including elevation, channel orientation and riparian woodland. Spatial correlation in Twmax was modelled at two scales; (1) river network (2) regional. Temporal correlation was addressed through an autoregressive (AR1) error structure for observations within sites. Additional site level variability was modelled with random effects. The resulting model was used to map (1) spatial variability in predicted Twmax under current (but extreme) climate conditions (2) the sensitivity of rivers to climate variability and (3) the effects of riparian tree planting. These visualisations provide innovative tools for informing fisheries and land-use management under current and future climate.","container-title":"Science of The Total Environment","DOI":"10.1016/j.scitotenv.2017.09.010","ISSN":"0048-9697","journalAbbreviation":"Science of The Total Environment","language":"en","page":"1543-1558","source":"ScienceDirect","title":"A spatio-temporal statistical model of maximum daily river temperatures to inform the management of Scotland's Atlantic salmon rivers under climate change","volume":"612","author":[{"family":"Jackson","given":"Faye L."},{"family":"Fryer","given":"Robert J."},{"family":"Hannah","given":"David M."},{"family":"Millar","given":"Colin P."},{"family":"Malcolm","given":"Iain A."}],"issued":{"date-parts":[["2018",1,15]]}}}],"schema":"https://github.com/citation-style-language/schema/raw/master/csl-citation.json"} </w:instrText>
            </w:r>
            <w:r w:rsidRPr="00143CB6">
              <w:rPr>
                <w:rFonts w:asciiTheme="minorHAnsi" w:hAnsiTheme="minorHAnsi" w:cstheme="minorHAnsi"/>
                <w:sz w:val="22"/>
                <w:szCs w:val="22"/>
                <w:lang w:val="en-GB"/>
              </w:rPr>
              <w:fldChar w:fldCharType="separate"/>
            </w:r>
            <w:r w:rsidRPr="00143CB6">
              <w:rPr>
                <w:rFonts w:asciiTheme="minorHAnsi" w:hAnsiTheme="minorHAnsi" w:cstheme="minorHAnsi"/>
                <w:sz w:val="22"/>
                <w:szCs w:val="22"/>
                <w:lang w:val="en-GB"/>
              </w:rPr>
              <w:t xml:space="preserve">(Jackson </w:t>
            </w:r>
            <w:r w:rsidRPr="00143CB6">
              <w:rPr>
                <w:rFonts w:asciiTheme="minorHAnsi" w:hAnsiTheme="minorHAnsi" w:cstheme="minorHAnsi"/>
                <w:i/>
                <w:sz w:val="22"/>
                <w:szCs w:val="22"/>
                <w:lang w:val="en-GB"/>
              </w:rPr>
              <w:t>et al.</w:t>
            </w:r>
            <w:r w:rsidRPr="00143CB6">
              <w:rPr>
                <w:rFonts w:asciiTheme="minorHAnsi" w:hAnsiTheme="minorHAnsi" w:cstheme="minorHAnsi"/>
                <w:sz w:val="22"/>
                <w:szCs w:val="22"/>
                <w:lang w:val="en-GB"/>
              </w:rPr>
              <w:t>, 2018)</w:t>
            </w:r>
            <w:r w:rsidRPr="00143CB6">
              <w:rPr>
                <w:rFonts w:asciiTheme="minorHAnsi" w:hAnsiTheme="minorHAnsi" w:cstheme="minorHAnsi"/>
                <w:sz w:val="22"/>
                <w:szCs w:val="22"/>
                <w:lang w:val="en-GB"/>
              </w:rPr>
              <w:fldChar w:fldCharType="end"/>
            </w:r>
            <w:r w:rsidRPr="00143CB6">
              <w:rPr>
                <w:rFonts w:asciiTheme="minorHAnsi" w:hAnsiTheme="minorHAnsi" w:cstheme="minorHAnsi"/>
                <w:sz w:val="22"/>
                <w:szCs w:val="22"/>
                <w:lang w:val="en-GB"/>
              </w:rPr>
              <w:t>. Those climate-induced changes may have further aggravated effects on specific Atlantic salmon populations, for instance in the southern part of OSPAR regions. Moreover, where migratory fish cross international borders (</w:t>
            </w:r>
            <w:r w:rsidRPr="00143CB6">
              <w:rPr>
                <w:rFonts w:asciiTheme="minorHAnsi" w:hAnsiTheme="minorHAnsi" w:cstheme="minorHAnsi"/>
                <w:i/>
                <w:iCs/>
                <w:sz w:val="22"/>
                <w:szCs w:val="22"/>
                <w:lang w:val="en-GB"/>
              </w:rPr>
              <w:t xml:space="preserve">e.g. </w:t>
            </w:r>
            <w:r w:rsidRPr="00143CB6">
              <w:rPr>
                <w:rFonts w:asciiTheme="minorHAnsi" w:hAnsiTheme="minorHAnsi" w:cstheme="minorHAnsi"/>
                <w:sz w:val="22"/>
                <w:szCs w:val="22"/>
                <w:lang w:val="en-GB"/>
              </w:rPr>
              <w:t xml:space="preserve">the Rhine Basin and its reintroducing program), management processes should include concerted and coordinated international actions to regulate fisheries and maintain river health. </w:t>
            </w:r>
          </w:p>
        </w:tc>
      </w:tr>
      <w:tr w:rsidR="0031651C" w:rsidRPr="00143CB6" w14:paraId="472699F8" w14:textId="77777777" w:rsidTr="10215BEE">
        <w:tc>
          <w:tcPr>
            <w:tcW w:w="2451" w:type="dxa"/>
          </w:tcPr>
          <w:p w14:paraId="64E3BB00"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Knowledge gaps (brief)</w:t>
            </w:r>
          </w:p>
          <w:p w14:paraId="0F89EA1C" w14:textId="77777777" w:rsidR="0031651C" w:rsidRPr="00143CB6" w:rsidRDefault="0031651C" w:rsidP="00437F65">
            <w:pPr>
              <w:spacing w:after="120"/>
              <w:jc w:val="both"/>
              <w:rPr>
                <w:rFonts w:asciiTheme="minorHAnsi" w:hAnsiTheme="minorHAnsi" w:cstheme="minorHAnsi"/>
                <w:sz w:val="22"/>
                <w:szCs w:val="22"/>
                <w:lang w:val="en-GB"/>
              </w:rPr>
            </w:pPr>
          </w:p>
          <w:p w14:paraId="38E6F85B"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0FD2A024" w14:textId="77777777" w:rsidR="0031651C" w:rsidRPr="00143CB6" w:rsidRDefault="0031651C" w:rsidP="0031651C">
            <w:pPr>
              <w:pStyle w:val="ListParagraph"/>
              <w:numPr>
                <w:ilvl w:val="0"/>
                <w:numId w:val="40"/>
              </w:numPr>
              <w:spacing w:after="120" w:line="360" w:lineRule="auto"/>
              <w:rPr>
                <w:rFonts w:asciiTheme="minorHAnsi" w:hAnsiTheme="minorHAnsi" w:cstheme="minorHAnsi"/>
                <w:szCs w:val="22"/>
              </w:rPr>
            </w:pPr>
            <w:r w:rsidRPr="00143CB6">
              <w:rPr>
                <w:rFonts w:asciiTheme="minorHAnsi" w:hAnsiTheme="minorHAnsi" w:cstheme="minorHAnsi"/>
                <w:szCs w:val="22"/>
              </w:rPr>
              <w:t xml:space="preserve">There remains limited data and understanding on the extent of the effects of climate change on the overall status of Atlantic salmon individuals, stocks, populations and international management units. </w:t>
            </w:r>
          </w:p>
          <w:p w14:paraId="1E5639D4" w14:textId="77777777" w:rsidR="0031651C" w:rsidRPr="00143CB6" w:rsidRDefault="0031651C" w:rsidP="0031651C">
            <w:pPr>
              <w:pStyle w:val="ListParagraph"/>
              <w:numPr>
                <w:ilvl w:val="0"/>
                <w:numId w:val="40"/>
              </w:numPr>
              <w:spacing w:after="120" w:line="360" w:lineRule="auto"/>
              <w:rPr>
                <w:rFonts w:asciiTheme="minorHAnsi" w:hAnsiTheme="minorHAnsi" w:cstheme="minorHAnsi"/>
                <w:szCs w:val="22"/>
              </w:rPr>
            </w:pPr>
            <w:r w:rsidRPr="00143CB6">
              <w:rPr>
                <w:rFonts w:asciiTheme="minorHAnsi" w:hAnsiTheme="minorHAnsi" w:cstheme="minorHAnsi"/>
                <w:szCs w:val="22"/>
              </w:rPr>
              <w:t>Further data collection and harmonization to better acknowledge the impacts of non-fisheries threats on Atlantic salmon status</w:t>
            </w:r>
          </w:p>
          <w:p w14:paraId="6CF54F0F" w14:textId="77777777" w:rsidR="0031651C" w:rsidRPr="00143CB6" w:rsidRDefault="0031651C" w:rsidP="0031651C">
            <w:pPr>
              <w:pStyle w:val="ListParagraph"/>
              <w:numPr>
                <w:ilvl w:val="0"/>
                <w:numId w:val="40"/>
              </w:numPr>
              <w:spacing w:after="120" w:line="360" w:lineRule="auto"/>
              <w:rPr>
                <w:rFonts w:asciiTheme="minorHAnsi" w:hAnsiTheme="minorHAnsi" w:cstheme="minorHAnsi"/>
                <w:szCs w:val="22"/>
              </w:rPr>
            </w:pPr>
            <w:r w:rsidRPr="00143CB6">
              <w:rPr>
                <w:rFonts w:asciiTheme="minorHAnsi" w:hAnsiTheme="minorHAnsi" w:cstheme="minorHAnsi"/>
                <w:szCs w:val="22"/>
              </w:rPr>
              <w:t xml:space="preserve">Studies to acknowledge the impact of native (e.g. river lamprey </w:t>
            </w:r>
            <w:r w:rsidRPr="00143CB6">
              <w:rPr>
                <w:rFonts w:asciiTheme="minorHAnsi" w:hAnsiTheme="minorHAnsi" w:cstheme="minorHAnsi"/>
                <w:szCs w:val="22"/>
              </w:rPr>
              <w:fldChar w:fldCharType="begin"/>
            </w:r>
            <w:r w:rsidRPr="00143CB6">
              <w:rPr>
                <w:rFonts w:asciiTheme="minorHAnsi" w:hAnsiTheme="minorHAnsi" w:cstheme="minorHAnsi"/>
                <w:szCs w:val="22"/>
              </w:rPr>
              <w:instrText xml:space="preserve"> ADDIN ZOTERO_ITEM CSL_CITATION {"citationID":"EswTqwOH","properties":{"formattedCitation":"(Kennedy et al., 2020)","plainCitation":"(Kennedy et al., 2020)","noteIndex":0},"citationItems":[{"id":18405,"uris":["http://zotero.org/users/1945633/items/BQUCPMXH"],"uri":["http://zotero.org/users/1945633/items/BQUCPMXH"],"itemData":{"id":18405,"type":"article-journal","abstract":"A new monitoring programme on the Lough Neagh catchment has documented a high incidence of river lamprey, Lampetra fluviatilis L., predation on Atlantic salmon smolts, Salmo salar L. In total 470 smolts were examined during the 2020 emigration period with 168 fish (36%) exhibiting lamprey scars of which 57 were lightly scarred and 111 were classed as heavily scarred. Lamprey predation was not size selective on Lough Neagh S. salar smolts.","container-title":"Journal of Fish Biology","DOI":"10.1111/jfb.14477","ISSN":"1095-8649","issue":"4","language":"en","note":"_eprint: https://onlinelibrary.wiley.com/doi/pdf/10.1111/jfb.14477","page":"1265-1267","source":"Wiley Online Library","title":"River lamprey present an unusual predation threat to Atlantic salmon smolts in Lough Neagh, Northern Ireland","volume":"97","author":[{"family":"Kennedy","given":"Richard J."},{"family":"Campbell","given":"Warren"},{"family":"Gallagher","given":"Kevin"},{"family":"Evans","given":"Derek"}],"issued":{"date-parts":[["2020"]]}}}],"schema":"https://github.com/citation-style-language/schema/raw/master/csl-citation.json"} </w:instrText>
            </w:r>
            <w:r w:rsidRPr="00143CB6">
              <w:rPr>
                <w:rFonts w:asciiTheme="minorHAnsi" w:hAnsiTheme="minorHAnsi" w:cstheme="minorHAnsi"/>
                <w:szCs w:val="22"/>
              </w:rPr>
              <w:fldChar w:fldCharType="separate"/>
            </w:r>
            <w:r w:rsidRPr="00143CB6">
              <w:rPr>
                <w:rFonts w:asciiTheme="minorHAnsi" w:hAnsiTheme="minorHAnsi" w:cstheme="minorHAnsi"/>
                <w:szCs w:val="22"/>
              </w:rPr>
              <w:t xml:space="preserve">(Kennedy </w:t>
            </w:r>
            <w:r w:rsidRPr="00143CB6">
              <w:rPr>
                <w:rFonts w:asciiTheme="minorHAnsi" w:hAnsiTheme="minorHAnsi" w:cstheme="minorHAnsi"/>
                <w:i/>
                <w:szCs w:val="22"/>
              </w:rPr>
              <w:t>et al.</w:t>
            </w:r>
            <w:r w:rsidRPr="00143CB6">
              <w:rPr>
                <w:rFonts w:asciiTheme="minorHAnsi" w:hAnsiTheme="minorHAnsi" w:cstheme="minorHAnsi"/>
                <w:szCs w:val="22"/>
              </w:rPr>
              <w:t>, 2020)</w:t>
            </w:r>
            <w:r w:rsidRPr="00143CB6">
              <w:rPr>
                <w:rFonts w:asciiTheme="minorHAnsi" w:hAnsiTheme="minorHAnsi" w:cstheme="minorHAnsi"/>
                <w:szCs w:val="22"/>
              </w:rPr>
              <w:fldChar w:fldCharType="end"/>
            </w:r>
            <w:r w:rsidRPr="00143CB6">
              <w:rPr>
                <w:rFonts w:asciiTheme="minorHAnsi" w:hAnsiTheme="minorHAnsi" w:cstheme="minorHAnsi"/>
                <w:szCs w:val="22"/>
              </w:rPr>
              <w:t xml:space="preserve"> or great cormorant (Jepsen </w:t>
            </w:r>
            <w:r w:rsidRPr="00143CB6">
              <w:rPr>
                <w:rFonts w:asciiTheme="minorHAnsi" w:hAnsiTheme="minorHAnsi" w:cstheme="minorHAnsi"/>
                <w:i/>
                <w:szCs w:val="22"/>
              </w:rPr>
              <w:t>et al.</w:t>
            </w:r>
            <w:r w:rsidRPr="00143CB6">
              <w:rPr>
                <w:rFonts w:asciiTheme="minorHAnsi" w:hAnsiTheme="minorHAnsi" w:cstheme="minorHAnsi"/>
                <w:szCs w:val="22"/>
              </w:rPr>
              <w:t xml:space="preserve">, </w:t>
            </w:r>
            <w:r w:rsidRPr="00143CB6">
              <w:rPr>
                <w:rFonts w:asciiTheme="minorHAnsi" w:hAnsiTheme="minorHAnsi" w:cstheme="minorHAnsi"/>
                <w:szCs w:val="22"/>
              </w:rPr>
              <w:fldChar w:fldCharType="begin"/>
            </w:r>
            <w:r w:rsidRPr="00143CB6">
              <w:rPr>
                <w:rFonts w:asciiTheme="minorHAnsi" w:hAnsiTheme="minorHAnsi" w:cstheme="minorHAnsi"/>
                <w:szCs w:val="22"/>
              </w:rPr>
              <w:instrText xml:space="preserve"> ADDIN ZOTERO_ITEM CSL_CITATION {"citationID":"PyyeHRz1","properties":{"formattedCitation":"(2019)","plainCitation":"(2019)","noteIndex":0},"citationItems":[{"id":18402,"uris":["http://zotero.org/users/1945633/items/ZMNBVG6D"],"uri":["http://zotero.org/users/1945633/items/ZMNBVG6D"],"itemData":{"id":18402,"type":"article-journal","container-title":"Fisheries Management and Ecology","DOI":"10.1111/fme.12329","ISSN":"1365-2400","issue":"2","language":"en","note":"_eprint: https://onlinelibrary.wiley.com/doi/pdf/10.1111/fme.12329","page":"183-186","source":"Wiley Online Library","title":"The impact of Cormorant predation on Atlantic salmon and Sea trout smolt survival","volume":"26","author":[{"family":"Jepsen","given":"Niels"},{"family":"Flávio","given":"Hugo"},{"family":"Koed","given":"Anders"}],"issued":{"date-parts":[["2019"]]}},"suppress-author":true}],"schema":"https://github.com/citation-style-language/schema/raw/master/csl-citation.json"} </w:instrText>
            </w:r>
            <w:r w:rsidRPr="00143CB6">
              <w:rPr>
                <w:rFonts w:asciiTheme="minorHAnsi" w:hAnsiTheme="minorHAnsi" w:cstheme="minorHAnsi"/>
                <w:szCs w:val="22"/>
              </w:rPr>
              <w:fldChar w:fldCharType="separate"/>
            </w:r>
            <w:r w:rsidRPr="00143CB6">
              <w:rPr>
                <w:rFonts w:asciiTheme="minorHAnsi" w:hAnsiTheme="minorHAnsi" w:cstheme="minorHAnsi"/>
                <w:szCs w:val="22"/>
              </w:rPr>
              <w:t>(2019)</w:t>
            </w:r>
            <w:r w:rsidRPr="00143CB6">
              <w:rPr>
                <w:rFonts w:asciiTheme="minorHAnsi" w:hAnsiTheme="minorHAnsi" w:cstheme="minorHAnsi"/>
                <w:szCs w:val="22"/>
              </w:rPr>
              <w:fldChar w:fldCharType="end"/>
            </w:r>
            <w:r w:rsidRPr="00143CB6">
              <w:rPr>
                <w:rFonts w:asciiTheme="minorHAnsi" w:hAnsiTheme="minorHAnsi" w:cstheme="minorHAnsi"/>
                <w:szCs w:val="22"/>
              </w:rPr>
              <w:t xml:space="preserve"> and/or non-indigenous (Wels catfish in OSPAR region IV; see for instance Boulêtreau </w:t>
            </w:r>
            <w:r w:rsidRPr="00143CB6">
              <w:rPr>
                <w:rFonts w:asciiTheme="minorHAnsi" w:hAnsiTheme="minorHAnsi" w:cstheme="minorHAnsi"/>
                <w:i/>
                <w:szCs w:val="22"/>
              </w:rPr>
              <w:t>et al.</w:t>
            </w:r>
            <w:r w:rsidRPr="00143CB6">
              <w:rPr>
                <w:rFonts w:asciiTheme="minorHAnsi" w:hAnsiTheme="minorHAnsi" w:cstheme="minorHAnsi"/>
                <w:szCs w:val="22"/>
              </w:rPr>
              <w:t xml:space="preserve"> </w:t>
            </w:r>
            <w:r w:rsidRPr="00143CB6">
              <w:rPr>
                <w:rFonts w:asciiTheme="minorHAnsi" w:hAnsiTheme="minorHAnsi" w:cstheme="minorHAnsi"/>
                <w:szCs w:val="22"/>
              </w:rPr>
              <w:fldChar w:fldCharType="begin"/>
            </w:r>
            <w:r w:rsidRPr="00143CB6">
              <w:rPr>
                <w:rFonts w:asciiTheme="minorHAnsi" w:hAnsiTheme="minorHAnsi" w:cstheme="minorHAnsi"/>
                <w:szCs w:val="22"/>
              </w:rPr>
              <w:instrText xml:space="preserve"> ADDIN ZOTERO_ITEM CSL_CITATION {"citationID":"ILToQRFr","properties":{"formattedCitation":"(2018)","plainCitation":"(2018)","noteIndex":0},"citationItems":[{"id":18409,"uris":["http://zotero.org/users/1945633/items/45SFZKQY"],"uri":["http://zotero.org/users/1945633/items/45SFZKQY"],"itemData":{"id":18409,"type":"article-journal","abstract":"The Atlantic salmon (Salmo salar) is one of the world’s most emblematic freshwater fish. Despite conservation and rehabilitation plans, populations of this species are dramatically declining due to human impacts such as habitat fragmentation, overfishing and water pollution. Owing to their large body size, anadromous adults were historically invulnerable to fish predation during their spawning period migration. This invulnerability has disappeared in Western Europe with the introduction of a new freshwater predator, the European catfish (Silurus glanis). Here we report how adults of Atlantic salmon are predated in the fishway of a large river of SW France, where the delayed and narrow passage created by the structure increases the probability of predator-prey encounter. We assessed predation risk by monitoring salmon and catfish in one fishway of the River Garonne, using video fish-counting from 1993 to 2016. We analysed the predation strategy of catfish using observations made with acoustic camera and RFID telemetry in 2016. Our results demonstrate a high predation rate (35%—14/39 ind.) on salmon inside the fishway during the 2016 spawning period migration. Our results suggest that a few specialized catfish individuals adapted their hunting behaviour to such prey, including their presence synchronized with that of salmon (i.e, more occurrences by the end of the day). Such results suggest that the spread of European catfish will potentially impact migration of anadromous species through anthropized systems.","container-title":"PLOS ONE","DOI":"10.1371/journal.pone.0196046","ISSN":"1932-6203","issue":"4","journalAbbreviation":"PLoS ONE","language":"en","page":"e0196046","source":"DOI.org (Crossref)","title":"Adult Atlantic salmon have a new freshwater predator","volume":"13","author":[{"family":"Boulêtreau","given":"Stéphanie"},{"family":"Gaillagot","given":"Adeline"},{"family":"Carry","given":"Laurent"},{"family":"Tétard","given":"Stéphane"},{"family":"De Oliveira","given":"Eric"},{"family":"Santoul","given":"Frédéric"}],"editor":[{"family":"Higgs","given":"Dennis M."}],"issued":{"date-parts":[["2018",4,19]]}},"suppress-author":true}],"schema":"https://github.com/citation-style-language/schema/raw/master/csl-citation.json"} </w:instrText>
            </w:r>
            <w:r w:rsidRPr="00143CB6">
              <w:rPr>
                <w:rFonts w:asciiTheme="minorHAnsi" w:hAnsiTheme="minorHAnsi" w:cstheme="minorHAnsi"/>
                <w:szCs w:val="22"/>
              </w:rPr>
              <w:fldChar w:fldCharType="separate"/>
            </w:r>
            <w:r w:rsidRPr="00143CB6">
              <w:rPr>
                <w:rFonts w:asciiTheme="minorHAnsi" w:hAnsiTheme="minorHAnsi" w:cstheme="minorHAnsi"/>
                <w:szCs w:val="22"/>
              </w:rPr>
              <w:t>(2018)</w:t>
            </w:r>
            <w:r w:rsidRPr="00143CB6">
              <w:rPr>
                <w:rFonts w:asciiTheme="minorHAnsi" w:hAnsiTheme="minorHAnsi" w:cstheme="minorHAnsi"/>
                <w:szCs w:val="22"/>
              </w:rPr>
              <w:fldChar w:fldCharType="end"/>
            </w:r>
            <w:r w:rsidRPr="00143CB6">
              <w:rPr>
                <w:rFonts w:asciiTheme="minorHAnsi" w:hAnsiTheme="minorHAnsi" w:cstheme="minorHAnsi"/>
                <w:szCs w:val="22"/>
              </w:rPr>
              <w:t xml:space="preserve">) predators on Atlantic salmon survival. Together with other threats, this may hinder the recovery of some depleted salmon stocks. </w:t>
            </w:r>
          </w:p>
          <w:p w14:paraId="19E6D283" w14:textId="77777777" w:rsidR="0031651C" w:rsidRPr="00143CB6" w:rsidRDefault="0031651C" w:rsidP="0031651C">
            <w:pPr>
              <w:pStyle w:val="ListParagraph"/>
              <w:numPr>
                <w:ilvl w:val="0"/>
                <w:numId w:val="40"/>
              </w:numPr>
              <w:spacing w:after="120" w:line="360" w:lineRule="auto"/>
              <w:rPr>
                <w:rFonts w:asciiTheme="minorHAnsi" w:hAnsiTheme="minorHAnsi" w:cstheme="minorHAnsi"/>
                <w:szCs w:val="22"/>
              </w:rPr>
            </w:pPr>
            <w:r w:rsidRPr="00143CB6">
              <w:rPr>
                <w:rFonts w:asciiTheme="minorHAnsi" w:hAnsiTheme="minorHAnsi" w:cstheme="minorHAnsi"/>
                <w:szCs w:val="22"/>
              </w:rPr>
              <w:t xml:space="preserve">Overall, while many studies focus on the effect of a specific threat or class of threats, very few data exist on the combined effect from multiple pressures during different life stages, even with small effect, that could be detrimental for Atlantic salmon survival. It is moreover still very challenging to assess the causes of marine mortality of Atlantic salmon (see Crozier </w:t>
            </w:r>
            <w:r w:rsidRPr="00143CB6">
              <w:rPr>
                <w:rFonts w:asciiTheme="minorHAnsi" w:hAnsiTheme="minorHAnsi" w:cstheme="minorHAnsi"/>
                <w:i/>
                <w:szCs w:val="22"/>
              </w:rPr>
              <w:t>et al.</w:t>
            </w:r>
            <w:r w:rsidRPr="00143CB6">
              <w:rPr>
                <w:rFonts w:asciiTheme="minorHAnsi" w:hAnsiTheme="minorHAnsi" w:cstheme="minorHAnsi"/>
                <w:szCs w:val="22"/>
              </w:rPr>
              <w:t xml:space="preserve"> </w:t>
            </w:r>
            <w:r w:rsidRPr="00143CB6">
              <w:rPr>
                <w:rFonts w:asciiTheme="minorHAnsi" w:hAnsiTheme="minorHAnsi" w:cstheme="minorHAnsi"/>
                <w:szCs w:val="22"/>
              </w:rPr>
              <w:fldChar w:fldCharType="begin"/>
            </w:r>
            <w:r w:rsidRPr="00143CB6">
              <w:rPr>
                <w:rFonts w:asciiTheme="minorHAnsi" w:hAnsiTheme="minorHAnsi" w:cstheme="minorHAnsi"/>
                <w:szCs w:val="22"/>
              </w:rPr>
              <w:instrText xml:space="preserve"> ADDIN ZOTERO_ITEM CSL_CITATION {"citationID":"2ALY7kJE","properties":{"formattedCitation":"(2018)","plainCitation":"(2018)","noteIndex":0},"citationItems":[{"id":18692,"uris":["http://zotero.org/users/1945633/items/CWR5VN4V"],"uri":["http://zotero.org/users/1945633/items/CWR5VN4V"],"itemData":{"id":18692,"type":"article-journal","language":"en","page":"38","source":"Zotero","title":"Atlantic salmon mortality at sea: Developing an evidence-based ''Likely Suspects'' Framework","author":[{"family":"Crozier","given":"Walter"},{"family":"Whelan","given":"Ken"},{"family":"Buoro","given":"Mathieu"},{"family":"Chaput","given":"Gérald"},{"family":"Daniels","given":"Jason"},{"family":"Grant","given":"Sue"},{"family":"Hyatt","given":"Kim"},{"family":"Irvine","given":"James"},{"family":"Ó'Maoiléidigh","given":"Niall"},{"family":"Prévost","given":"Etienne"},{"family":"Rivot","given":"Etienne"},{"family":"Russell","given":"Ian"},{"family":"Schmidt","given":"Michael"},{"family":"Wells","given":"Brian"}],"issued":{"date-parts":[["2018"]]}},"suppress-author":true}],"schema":"https://github.com/citation-style-language/schema/raw/master/csl-citation.json"} </w:instrText>
            </w:r>
            <w:r w:rsidRPr="00143CB6">
              <w:rPr>
                <w:rFonts w:asciiTheme="minorHAnsi" w:hAnsiTheme="minorHAnsi" w:cstheme="minorHAnsi"/>
                <w:szCs w:val="22"/>
              </w:rPr>
              <w:fldChar w:fldCharType="separate"/>
            </w:r>
            <w:r w:rsidRPr="00143CB6">
              <w:rPr>
                <w:rFonts w:asciiTheme="minorHAnsi" w:hAnsiTheme="minorHAnsi" w:cstheme="minorHAnsi"/>
                <w:szCs w:val="22"/>
              </w:rPr>
              <w:t>(2018)</w:t>
            </w:r>
            <w:r w:rsidRPr="00143CB6">
              <w:rPr>
                <w:rFonts w:asciiTheme="minorHAnsi" w:hAnsiTheme="minorHAnsi" w:cstheme="minorHAnsi"/>
                <w:szCs w:val="22"/>
              </w:rPr>
              <w:fldChar w:fldCharType="end"/>
            </w:r>
            <w:r w:rsidRPr="00143CB6">
              <w:rPr>
                <w:rFonts w:asciiTheme="minorHAnsi" w:hAnsiTheme="minorHAnsi" w:cstheme="minorHAnsi"/>
                <w:szCs w:val="22"/>
              </w:rPr>
              <w:t xml:space="preserve"> for model improvements) given the very large area they occupy. This remains a key study area of institutions and international partnerships (</w:t>
            </w:r>
            <w:r w:rsidRPr="00143CB6">
              <w:rPr>
                <w:rFonts w:asciiTheme="minorHAnsi" w:hAnsiTheme="minorHAnsi" w:cstheme="minorHAnsi"/>
                <w:i/>
                <w:iCs/>
                <w:szCs w:val="22"/>
              </w:rPr>
              <w:t>e.g.</w:t>
            </w:r>
            <w:r w:rsidRPr="00143CB6">
              <w:rPr>
                <w:rFonts w:asciiTheme="minorHAnsi" w:hAnsiTheme="minorHAnsi" w:cstheme="minorHAnsi"/>
                <w:szCs w:val="22"/>
              </w:rPr>
              <w:t xml:space="preserve"> NASCO).</w:t>
            </w:r>
          </w:p>
        </w:tc>
      </w:tr>
      <w:tr w:rsidR="0031651C" w:rsidRPr="00143CB6" w14:paraId="60253837" w14:textId="77777777" w:rsidTr="10215BEE">
        <w:tc>
          <w:tcPr>
            <w:tcW w:w="2451" w:type="dxa"/>
          </w:tcPr>
          <w:p w14:paraId="2EEDA9A5" w14:textId="77777777" w:rsidR="0031651C" w:rsidRPr="00143CB6" w:rsidRDefault="0031651C" w:rsidP="00437F65">
            <w:pPr>
              <w:spacing w:after="120"/>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References </w:t>
            </w:r>
          </w:p>
        </w:tc>
        <w:tc>
          <w:tcPr>
            <w:tcW w:w="7370" w:type="dxa"/>
          </w:tcPr>
          <w:p w14:paraId="6E91DDA7"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highlight w:val="yellow"/>
              </w:rPr>
              <w:fldChar w:fldCharType="begin"/>
            </w:r>
            <w:r w:rsidRPr="00143CB6">
              <w:rPr>
                <w:rFonts w:asciiTheme="minorHAnsi" w:hAnsiTheme="minorHAnsi" w:cstheme="minorHAnsi"/>
                <w:sz w:val="22"/>
                <w:highlight w:val="yellow"/>
              </w:rPr>
              <w:instrText xml:space="preserve"> ADDIN ZOTERO_BIBL {"uncited":[["http://zotero.org/users/1945633/items/8RIA24UT"]],"omitted":[],"custom":[]} CSL_BIBLIOGRAPHY </w:instrText>
            </w:r>
            <w:r w:rsidRPr="00143CB6">
              <w:rPr>
                <w:rFonts w:asciiTheme="minorHAnsi" w:hAnsiTheme="minorHAnsi" w:cstheme="minorHAnsi"/>
                <w:sz w:val="22"/>
                <w:highlight w:val="yellow"/>
              </w:rPr>
              <w:fldChar w:fldCharType="separate"/>
            </w:r>
            <w:r w:rsidRPr="00143CB6">
              <w:rPr>
                <w:rFonts w:asciiTheme="minorHAnsi" w:hAnsiTheme="minorHAnsi" w:cstheme="minorHAnsi"/>
                <w:sz w:val="22"/>
              </w:rPr>
              <w:t xml:space="preserve">Armstrong, J. D., Bean, C. W., &amp; Wells, A. (2018). The Scottish invasion of pink salmon in 2017. </w:t>
            </w:r>
            <w:r w:rsidRPr="00143CB6">
              <w:rPr>
                <w:rFonts w:asciiTheme="minorHAnsi" w:hAnsiTheme="minorHAnsi" w:cstheme="minorHAnsi"/>
                <w:i/>
                <w:iCs/>
                <w:sz w:val="22"/>
              </w:rPr>
              <w:t>Journal of Fish Biology</w:t>
            </w:r>
            <w:r w:rsidRPr="00143CB6">
              <w:rPr>
                <w:rFonts w:asciiTheme="minorHAnsi" w:hAnsiTheme="minorHAnsi" w:cstheme="minorHAnsi"/>
                <w:sz w:val="22"/>
              </w:rPr>
              <w:t xml:space="preserve">, </w:t>
            </w:r>
            <w:r w:rsidRPr="00143CB6">
              <w:rPr>
                <w:rFonts w:asciiTheme="minorHAnsi" w:hAnsiTheme="minorHAnsi" w:cstheme="minorHAnsi"/>
                <w:i/>
                <w:iCs/>
                <w:sz w:val="22"/>
              </w:rPr>
              <w:t>93</w:t>
            </w:r>
            <w:r w:rsidRPr="00143CB6">
              <w:rPr>
                <w:rFonts w:asciiTheme="minorHAnsi" w:hAnsiTheme="minorHAnsi" w:cstheme="minorHAnsi"/>
                <w:sz w:val="22"/>
              </w:rPr>
              <w:t>(1), 8</w:t>
            </w:r>
            <w:r w:rsidRPr="00143CB6">
              <w:rPr>
                <w:rFonts w:ascii="Cambria Math" w:hAnsi="Cambria Math" w:cs="Cambria Math"/>
                <w:sz w:val="22"/>
              </w:rPr>
              <w:t>‑</w:t>
            </w:r>
            <w:r w:rsidRPr="00143CB6">
              <w:rPr>
                <w:rFonts w:asciiTheme="minorHAnsi" w:hAnsiTheme="minorHAnsi" w:cstheme="minorHAnsi"/>
                <w:sz w:val="22"/>
              </w:rPr>
              <w:t>11. https://doi.org/10.1111/jfb.13680</w:t>
            </w:r>
          </w:p>
          <w:p w14:paraId="6CF15124"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Bacon, P. J., Palmer, S. C. F., MacLean, J. C., Smith, G. W., Whyte, B. D. M., Gurney, W. S. C., &amp; Youngson, A. F. (2009). Empirical analyses of the length, weight, and condition of adult Atlantic salmon on return to the Scottish coast between 1963 and 2006. </w:t>
            </w:r>
            <w:r w:rsidRPr="00143CB6">
              <w:rPr>
                <w:rFonts w:asciiTheme="minorHAnsi" w:hAnsiTheme="minorHAnsi" w:cstheme="minorHAnsi"/>
                <w:i/>
                <w:iCs/>
                <w:sz w:val="22"/>
              </w:rPr>
              <w:t>ICES Journal of Marine Science</w:t>
            </w:r>
            <w:r w:rsidRPr="00143CB6">
              <w:rPr>
                <w:rFonts w:asciiTheme="minorHAnsi" w:hAnsiTheme="minorHAnsi" w:cstheme="minorHAnsi"/>
                <w:sz w:val="22"/>
              </w:rPr>
              <w:t xml:space="preserve">, </w:t>
            </w:r>
            <w:r w:rsidRPr="00143CB6">
              <w:rPr>
                <w:rFonts w:asciiTheme="minorHAnsi" w:hAnsiTheme="minorHAnsi" w:cstheme="minorHAnsi"/>
                <w:i/>
                <w:iCs/>
                <w:sz w:val="22"/>
              </w:rPr>
              <w:t>66</w:t>
            </w:r>
            <w:r w:rsidRPr="00143CB6">
              <w:rPr>
                <w:rFonts w:asciiTheme="minorHAnsi" w:hAnsiTheme="minorHAnsi" w:cstheme="minorHAnsi"/>
                <w:sz w:val="22"/>
              </w:rPr>
              <w:t>(5), 844</w:t>
            </w:r>
            <w:r w:rsidRPr="00143CB6">
              <w:rPr>
                <w:rFonts w:ascii="Cambria Math" w:hAnsi="Cambria Math" w:cs="Cambria Math"/>
                <w:sz w:val="22"/>
              </w:rPr>
              <w:t>‑</w:t>
            </w:r>
            <w:r w:rsidRPr="00143CB6">
              <w:rPr>
                <w:rFonts w:asciiTheme="minorHAnsi" w:hAnsiTheme="minorHAnsi" w:cstheme="minorHAnsi"/>
                <w:sz w:val="22"/>
              </w:rPr>
              <w:t>859. https://doi.org/10.1093/icesjms/fsp096</w:t>
            </w:r>
          </w:p>
          <w:p w14:paraId="00C2CD7D"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Baglinière, J.-L., Marchand, F., &amp; Vauclin, V. (2005). Interannual changes in recruitment of the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population in the River Oir (Lower Normandy, France) : Relationships with spawners and in-stream habitat. </w:t>
            </w:r>
            <w:r w:rsidRPr="00143CB6">
              <w:rPr>
                <w:rFonts w:asciiTheme="minorHAnsi" w:hAnsiTheme="minorHAnsi" w:cstheme="minorHAnsi"/>
                <w:i/>
                <w:iCs/>
                <w:sz w:val="22"/>
              </w:rPr>
              <w:t>ICES Journal of Marine Science</w:t>
            </w:r>
            <w:r w:rsidRPr="00143CB6">
              <w:rPr>
                <w:rFonts w:asciiTheme="minorHAnsi" w:hAnsiTheme="minorHAnsi" w:cstheme="minorHAnsi"/>
                <w:sz w:val="22"/>
              </w:rPr>
              <w:t xml:space="preserve">, </w:t>
            </w:r>
            <w:r w:rsidRPr="00143CB6">
              <w:rPr>
                <w:rFonts w:asciiTheme="minorHAnsi" w:hAnsiTheme="minorHAnsi" w:cstheme="minorHAnsi"/>
                <w:i/>
                <w:iCs/>
                <w:sz w:val="22"/>
              </w:rPr>
              <w:t>62</w:t>
            </w:r>
            <w:r w:rsidRPr="00143CB6">
              <w:rPr>
                <w:rFonts w:asciiTheme="minorHAnsi" w:hAnsiTheme="minorHAnsi" w:cstheme="minorHAnsi"/>
                <w:sz w:val="22"/>
              </w:rPr>
              <w:t>(4), 695</w:t>
            </w:r>
            <w:r w:rsidRPr="00143CB6">
              <w:rPr>
                <w:rFonts w:ascii="Cambria Math" w:hAnsi="Cambria Math" w:cs="Cambria Math"/>
                <w:sz w:val="22"/>
              </w:rPr>
              <w:t>‑</w:t>
            </w:r>
            <w:r w:rsidRPr="00143CB6">
              <w:rPr>
                <w:rFonts w:asciiTheme="minorHAnsi" w:hAnsiTheme="minorHAnsi" w:cstheme="minorHAnsi"/>
                <w:sz w:val="22"/>
              </w:rPr>
              <w:t>707. https://doi.org/10.1016/j.icesjms.2005.02.008</w:t>
            </w:r>
          </w:p>
          <w:p w14:paraId="4C51EE2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Bakken, T. H., Sundt, H., Ruud, A., &amp; Harby, A. (2012). Development of Small Versus Large Hydropower in Norway– Comparison of Environmental Impacts. </w:t>
            </w:r>
            <w:r w:rsidRPr="00143CB6">
              <w:rPr>
                <w:rFonts w:asciiTheme="minorHAnsi" w:hAnsiTheme="minorHAnsi" w:cstheme="minorHAnsi"/>
                <w:i/>
                <w:iCs/>
                <w:sz w:val="22"/>
              </w:rPr>
              <w:t>Energy Procedia</w:t>
            </w:r>
            <w:r w:rsidRPr="00143CB6">
              <w:rPr>
                <w:rFonts w:asciiTheme="minorHAnsi" w:hAnsiTheme="minorHAnsi" w:cstheme="minorHAnsi"/>
                <w:sz w:val="22"/>
              </w:rPr>
              <w:t xml:space="preserve">, </w:t>
            </w:r>
            <w:r w:rsidRPr="00143CB6">
              <w:rPr>
                <w:rFonts w:asciiTheme="minorHAnsi" w:hAnsiTheme="minorHAnsi" w:cstheme="minorHAnsi"/>
                <w:i/>
                <w:iCs/>
                <w:sz w:val="22"/>
              </w:rPr>
              <w:t>20</w:t>
            </w:r>
            <w:r w:rsidRPr="00143CB6">
              <w:rPr>
                <w:rFonts w:asciiTheme="minorHAnsi" w:hAnsiTheme="minorHAnsi" w:cstheme="minorHAnsi"/>
                <w:sz w:val="22"/>
              </w:rPr>
              <w:t>, 185</w:t>
            </w:r>
            <w:r w:rsidRPr="00143CB6">
              <w:rPr>
                <w:rFonts w:ascii="Cambria Math" w:hAnsi="Cambria Math" w:cs="Cambria Math"/>
                <w:sz w:val="22"/>
              </w:rPr>
              <w:t>‑</w:t>
            </w:r>
            <w:r w:rsidRPr="00143CB6">
              <w:rPr>
                <w:rFonts w:asciiTheme="minorHAnsi" w:hAnsiTheme="minorHAnsi" w:cstheme="minorHAnsi"/>
                <w:sz w:val="22"/>
              </w:rPr>
              <w:t>199. https://doi.org/10.1016/j.egypro.2012.03.019</w:t>
            </w:r>
          </w:p>
          <w:p w14:paraId="7E2B3645"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Beaulaton, L., Josset, Q., &amp; Baglinière, J.-L. (2021). </w:t>
            </w:r>
            <w:r w:rsidRPr="00143CB6">
              <w:rPr>
                <w:rFonts w:asciiTheme="minorHAnsi" w:hAnsiTheme="minorHAnsi" w:cstheme="minorHAnsi"/>
                <w:i/>
                <w:iCs/>
                <w:sz w:val="22"/>
              </w:rPr>
              <w:t>Le Saumon Rose (Oncorhynchus gorbuscha, Walbaum, 1792). Conduite à tenir et éléments d’écologie.</w:t>
            </w:r>
            <w:r w:rsidRPr="00143CB6">
              <w:rPr>
                <w:rFonts w:asciiTheme="minorHAnsi" w:hAnsiTheme="minorHAnsi" w:cstheme="minorHAnsi"/>
                <w:sz w:val="22"/>
              </w:rPr>
              <w:t xml:space="preserve"> (p. 25) [Report, OFB ; INRAE ; INSTITUT AGRO ; UPPA]. https://hal.archives-ouvertes.fr/hal-03287600</w:t>
            </w:r>
          </w:p>
          <w:p w14:paraId="5ACDFF62"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Belletti, B., Garcia de Leaniz, C., Jones, J., Bizzi, S., Börger, L., Segura, G., Castelletti, A., van de Bund, W., Aarestrup, K., Barry, J., Belka, K., Berkhuysen, A., Birnie-Gauvin, K., Bussettini, M., Carolli, M., Consuegra, S., Dopico, E., Feierfeil, T., Fernández, S., … Zalewski, M. (2020). More than one million barriers fragment Europe’s rivers. </w:t>
            </w:r>
            <w:r w:rsidRPr="00143CB6">
              <w:rPr>
                <w:rFonts w:asciiTheme="minorHAnsi" w:hAnsiTheme="minorHAnsi" w:cstheme="minorHAnsi"/>
                <w:i/>
                <w:iCs/>
                <w:sz w:val="22"/>
              </w:rPr>
              <w:t>Nature</w:t>
            </w:r>
            <w:r w:rsidRPr="00143CB6">
              <w:rPr>
                <w:rFonts w:asciiTheme="minorHAnsi" w:hAnsiTheme="minorHAnsi" w:cstheme="minorHAnsi"/>
                <w:sz w:val="22"/>
              </w:rPr>
              <w:t xml:space="preserve">, </w:t>
            </w:r>
            <w:r w:rsidRPr="00143CB6">
              <w:rPr>
                <w:rFonts w:asciiTheme="minorHAnsi" w:hAnsiTheme="minorHAnsi" w:cstheme="minorHAnsi"/>
                <w:i/>
                <w:iCs/>
                <w:sz w:val="22"/>
              </w:rPr>
              <w:t>588</w:t>
            </w:r>
            <w:r w:rsidRPr="00143CB6">
              <w:rPr>
                <w:rFonts w:asciiTheme="minorHAnsi" w:hAnsiTheme="minorHAnsi" w:cstheme="minorHAnsi"/>
                <w:sz w:val="22"/>
              </w:rPr>
              <w:t>(7838), 436</w:t>
            </w:r>
            <w:r w:rsidRPr="00143CB6">
              <w:rPr>
                <w:rFonts w:ascii="Cambria Math" w:hAnsi="Cambria Math" w:cs="Cambria Math"/>
                <w:sz w:val="22"/>
              </w:rPr>
              <w:t>‑</w:t>
            </w:r>
            <w:r w:rsidRPr="00143CB6">
              <w:rPr>
                <w:rFonts w:asciiTheme="minorHAnsi" w:hAnsiTheme="minorHAnsi" w:cstheme="minorHAnsi"/>
                <w:sz w:val="22"/>
              </w:rPr>
              <w:t>441. https://doi.org/10.1038/s41586-020-3005-2</w:t>
            </w:r>
          </w:p>
          <w:p w14:paraId="2BCB386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Boulêtreau, S., Gaillagot, A., Carry, L., Tétard, S., De Oliveira, E., &amp; Santoul, F. (2018). Adult Atlantic salmon have a new freshwater predator. </w:t>
            </w:r>
            <w:r w:rsidRPr="00143CB6">
              <w:rPr>
                <w:rFonts w:asciiTheme="minorHAnsi" w:hAnsiTheme="minorHAnsi" w:cstheme="minorHAnsi"/>
                <w:i/>
                <w:iCs/>
                <w:sz w:val="22"/>
              </w:rPr>
              <w:t>PLOS ONE</w:t>
            </w:r>
            <w:r w:rsidRPr="00143CB6">
              <w:rPr>
                <w:rFonts w:asciiTheme="minorHAnsi" w:hAnsiTheme="minorHAnsi" w:cstheme="minorHAnsi"/>
                <w:sz w:val="22"/>
              </w:rPr>
              <w:t xml:space="preserve">, </w:t>
            </w:r>
            <w:r w:rsidRPr="00143CB6">
              <w:rPr>
                <w:rFonts w:asciiTheme="minorHAnsi" w:hAnsiTheme="minorHAnsi" w:cstheme="minorHAnsi"/>
                <w:i/>
                <w:iCs/>
                <w:sz w:val="22"/>
              </w:rPr>
              <w:t>13</w:t>
            </w:r>
            <w:r w:rsidRPr="00143CB6">
              <w:rPr>
                <w:rFonts w:asciiTheme="minorHAnsi" w:hAnsiTheme="minorHAnsi" w:cstheme="minorHAnsi"/>
                <w:sz w:val="22"/>
              </w:rPr>
              <w:t>(4), e0196046. https://doi.org/10.1371/journal.pone.0196046</w:t>
            </w:r>
          </w:p>
          <w:p w14:paraId="2E40A808"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Buddendorf, W. B., Jackson, F. L., Malcolm, I. A., Millidine, K. J., Geris, J., Wilkinson, M. E., &amp; Soulsby, C. (2019). Integration of juvenile habitat quality and river connectivity models to understand and prioritise the management of barriers for Atlantic salmon populations across spatial scales. </w:t>
            </w:r>
            <w:r w:rsidRPr="00143CB6">
              <w:rPr>
                <w:rFonts w:asciiTheme="minorHAnsi" w:hAnsiTheme="minorHAnsi" w:cstheme="minorHAnsi"/>
                <w:i/>
                <w:iCs/>
                <w:sz w:val="22"/>
              </w:rPr>
              <w:t>Science of The Total Environment</w:t>
            </w:r>
            <w:r w:rsidRPr="00143CB6">
              <w:rPr>
                <w:rFonts w:asciiTheme="minorHAnsi" w:hAnsiTheme="minorHAnsi" w:cstheme="minorHAnsi"/>
                <w:sz w:val="22"/>
              </w:rPr>
              <w:t xml:space="preserve">, </w:t>
            </w:r>
            <w:r w:rsidRPr="00143CB6">
              <w:rPr>
                <w:rFonts w:asciiTheme="minorHAnsi" w:hAnsiTheme="minorHAnsi" w:cstheme="minorHAnsi"/>
                <w:i/>
                <w:iCs/>
                <w:sz w:val="22"/>
              </w:rPr>
              <w:t>655</w:t>
            </w:r>
            <w:r w:rsidRPr="00143CB6">
              <w:rPr>
                <w:rFonts w:asciiTheme="minorHAnsi" w:hAnsiTheme="minorHAnsi" w:cstheme="minorHAnsi"/>
                <w:sz w:val="22"/>
              </w:rPr>
              <w:t>, 557</w:t>
            </w:r>
            <w:r w:rsidRPr="00143CB6">
              <w:rPr>
                <w:rFonts w:ascii="Cambria Math" w:hAnsi="Cambria Math" w:cs="Cambria Math"/>
                <w:sz w:val="22"/>
              </w:rPr>
              <w:t>‑</w:t>
            </w:r>
            <w:r w:rsidRPr="00143CB6">
              <w:rPr>
                <w:rFonts w:asciiTheme="minorHAnsi" w:hAnsiTheme="minorHAnsi" w:cstheme="minorHAnsi"/>
                <w:sz w:val="22"/>
              </w:rPr>
              <w:t>566. https://doi.org/10.1016/j.scitotenv.2018.11.263</w:t>
            </w:r>
          </w:p>
          <w:p w14:paraId="017B0D1B"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Copp, G. H. (2017). </w:t>
            </w:r>
            <w:r w:rsidRPr="00143CB6">
              <w:rPr>
                <w:rFonts w:asciiTheme="minorHAnsi" w:hAnsiTheme="minorHAnsi" w:cstheme="minorHAnsi"/>
                <w:i/>
                <w:iCs/>
                <w:sz w:val="22"/>
              </w:rPr>
              <w:t>GB Non-native Species Rapid Risk Assessment (NRRA) : Rapid Risk Assessment of : Oncorhynchus gorbuscha (Walbaum) (pink or humpback salmon).</w:t>
            </w:r>
            <w:r w:rsidRPr="00143CB6">
              <w:rPr>
                <w:rFonts w:asciiTheme="minorHAnsi" w:hAnsiTheme="minorHAnsi" w:cstheme="minorHAnsi"/>
                <w:sz w:val="22"/>
              </w:rPr>
              <w:t xml:space="preserve"> https://www.cefas.co.uk/media/191673/cefas_rapidriskassessment_pinksalmon_05-09-17.pdf</w:t>
            </w:r>
          </w:p>
          <w:p w14:paraId="68B2823F"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Crozier, W., Whelan, K., Buoro, M., Chaput, G., Daniels, J., Grant, S., Hyatt, K., Irvine, J., Ó’Maoiléidigh, N., Prévost, E., Rivot, E., Russell, I., Schmidt, M., &amp; Wells, B. (2018). </w:t>
            </w:r>
            <w:r w:rsidRPr="00143CB6">
              <w:rPr>
                <w:rFonts w:asciiTheme="minorHAnsi" w:hAnsiTheme="minorHAnsi" w:cstheme="minorHAnsi"/>
                <w:i/>
                <w:iCs/>
                <w:sz w:val="22"/>
              </w:rPr>
              <w:t>Atlantic salmon mortality at sea : Developing an evidence-based « “Likely Suspects” » Framework</w:t>
            </w:r>
            <w:r w:rsidRPr="00143CB6">
              <w:rPr>
                <w:rFonts w:asciiTheme="minorHAnsi" w:hAnsiTheme="minorHAnsi" w:cstheme="minorHAnsi"/>
                <w:sz w:val="22"/>
              </w:rPr>
              <w:t>. 38.</w:t>
            </w:r>
          </w:p>
          <w:p w14:paraId="233BA8FF"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de Eyto, E., White, J., Boylan, P., Clarke, B., Cotter, D., Doherty, D., Gargan, P., Kennedy, R., McGinnity, P., O’Maoiléidigh, N., &amp; O’Higgins, K. (2015). The fecundity of wild Irish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L. and its application for stock assessment purposes. </w:t>
            </w:r>
            <w:r w:rsidRPr="00143CB6">
              <w:rPr>
                <w:rFonts w:asciiTheme="minorHAnsi" w:hAnsiTheme="minorHAnsi" w:cstheme="minorHAnsi"/>
                <w:i/>
                <w:iCs/>
                <w:sz w:val="22"/>
              </w:rPr>
              <w:t>Fisheries Research</w:t>
            </w:r>
            <w:r w:rsidRPr="00143CB6">
              <w:rPr>
                <w:rFonts w:asciiTheme="minorHAnsi" w:hAnsiTheme="minorHAnsi" w:cstheme="minorHAnsi"/>
                <w:sz w:val="22"/>
              </w:rPr>
              <w:t xml:space="preserve">, </w:t>
            </w:r>
            <w:r w:rsidRPr="00143CB6">
              <w:rPr>
                <w:rFonts w:asciiTheme="minorHAnsi" w:hAnsiTheme="minorHAnsi" w:cstheme="minorHAnsi"/>
                <w:i/>
                <w:iCs/>
                <w:sz w:val="22"/>
              </w:rPr>
              <w:t>164</w:t>
            </w:r>
            <w:r w:rsidRPr="00143CB6">
              <w:rPr>
                <w:rFonts w:asciiTheme="minorHAnsi" w:hAnsiTheme="minorHAnsi" w:cstheme="minorHAnsi"/>
                <w:sz w:val="22"/>
              </w:rPr>
              <w:t>, 159</w:t>
            </w:r>
            <w:r w:rsidRPr="00143CB6">
              <w:rPr>
                <w:rFonts w:ascii="Cambria Math" w:hAnsi="Cambria Math" w:cs="Cambria Math"/>
                <w:sz w:val="22"/>
              </w:rPr>
              <w:t>‑</w:t>
            </w:r>
            <w:r w:rsidRPr="00143CB6">
              <w:rPr>
                <w:rFonts w:asciiTheme="minorHAnsi" w:hAnsiTheme="minorHAnsi" w:cstheme="minorHAnsi"/>
                <w:sz w:val="22"/>
              </w:rPr>
              <w:t>169. https://doi.org/10.1016/j.fishres.2014.11.017</w:t>
            </w:r>
          </w:p>
          <w:p w14:paraId="42CEF21D"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Forseth, T., Barlaup, B. T., Finstad, B., Fiske, P., Gjøsæter, H., Falkegård, M., Hindar, A., Mo, T. A., Rikardsen, A. H., Thorstad, E. B., Vøllestad, L. A., &amp; Wennevik, V. (2017). The major threats to Atlantic salmon in Norway. </w:t>
            </w:r>
            <w:r w:rsidRPr="00143CB6">
              <w:rPr>
                <w:rFonts w:asciiTheme="minorHAnsi" w:hAnsiTheme="minorHAnsi" w:cstheme="minorHAnsi"/>
                <w:i/>
                <w:iCs/>
                <w:sz w:val="22"/>
              </w:rPr>
              <w:t>ICES Journal of Marine Science</w:t>
            </w:r>
            <w:r w:rsidRPr="00143CB6">
              <w:rPr>
                <w:rFonts w:asciiTheme="minorHAnsi" w:hAnsiTheme="minorHAnsi" w:cstheme="minorHAnsi"/>
                <w:sz w:val="22"/>
              </w:rPr>
              <w:t xml:space="preserve">, </w:t>
            </w:r>
            <w:r w:rsidRPr="00143CB6">
              <w:rPr>
                <w:rFonts w:asciiTheme="minorHAnsi" w:hAnsiTheme="minorHAnsi" w:cstheme="minorHAnsi"/>
                <w:i/>
                <w:iCs/>
                <w:sz w:val="22"/>
              </w:rPr>
              <w:t>74</w:t>
            </w:r>
            <w:r w:rsidRPr="00143CB6">
              <w:rPr>
                <w:rFonts w:asciiTheme="minorHAnsi" w:hAnsiTheme="minorHAnsi" w:cstheme="minorHAnsi"/>
                <w:sz w:val="22"/>
              </w:rPr>
              <w:t>(6), 1496</w:t>
            </w:r>
            <w:r w:rsidRPr="00143CB6">
              <w:rPr>
                <w:rFonts w:ascii="Cambria Math" w:hAnsi="Cambria Math" w:cs="Cambria Math"/>
                <w:sz w:val="22"/>
              </w:rPr>
              <w:t>‑</w:t>
            </w:r>
            <w:r w:rsidRPr="00143CB6">
              <w:rPr>
                <w:rFonts w:asciiTheme="minorHAnsi" w:hAnsiTheme="minorHAnsi" w:cstheme="minorHAnsi"/>
                <w:sz w:val="22"/>
              </w:rPr>
              <w:t>1513. https://doi.org/10.1093/icesjms/fsx020</w:t>
            </w:r>
          </w:p>
          <w:p w14:paraId="182B1436"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Forseth, T., Thorstad, E. B., &amp; Fiske, P. (2020). </w:t>
            </w:r>
            <w:r w:rsidRPr="00143CB6">
              <w:rPr>
                <w:rFonts w:asciiTheme="minorHAnsi" w:hAnsiTheme="minorHAnsi" w:cstheme="minorHAnsi"/>
                <w:i/>
                <w:iCs/>
                <w:sz w:val="22"/>
              </w:rPr>
              <w:t>Status of wild Atlantic salmon in Norway 2020</w:t>
            </w:r>
            <w:r w:rsidRPr="00143CB6">
              <w:rPr>
                <w:rFonts w:asciiTheme="minorHAnsi" w:hAnsiTheme="minorHAnsi" w:cstheme="minorHAnsi"/>
                <w:sz w:val="22"/>
              </w:rPr>
              <w:t>. https://vitenskapsradet.no/Portals/vitenskapsradet/Pdf/Status%20of%20wild%20Atlantic%20salmon%20in%20Norway%202020T.pdf?ver=5edE21dH2DFOaPNai04Uig%3d%3d</w:t>
            </w:r>
          </w:p>
          <w:p w14:paraId="47B30EA5"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Gregory, S. D., Bewes, V. E., Davey, A. J. H., Roberts, D. E., Gough, P., &amp; Davidson, I. C. (2020). Environmental conditions modify density‐dependent salmonid recruitment : Insights into the 2016 recruitment crash in Wales. </w:t>
            </w:r>
            <w:r w:rsidRPr="00143CB6">
              <w:rPr>
                <w:rFonts w:asciiTheme="minorHAnsi" w:hAnsiTheme="minorHAnsi" w:cstheme="minorHAnsi"/>
                <w:i/>
                <w:iCs/>
                <w:sz w:val="22"/>
              </w:rPr>
              <w:t>Freshwater Biology</w:t>
            </w:r>
            <w:r w:rsidRPr="00143CB6">
              <w:rPr>
                <w:rFonts w:asciiTheme="minorHAnsi" w:hAnsiTheme="minorHAnsi" w:cstheme="minorHAnsi"/>
                <w:sz w:val="22"/>
              </w:rPr>
              <w:t xml:space="preserve">, </w:t>
            </w:r>
            <w:r w:rsidRPr="00143CB6">
              <w:rPr>
                <w:rFonts w:asciiTheme="minorHAnsi" w:hAnsiTheme="minorHAnsi" w:cstheme="minorHAnsi"/>
                <w:i/>
                <w:iCs/>
                <w:sz w:val="22"/>
              </w:rPr>
              <w:t>65</w:t>
            </w:r>
            <w:r w:rsidRPr="00143CB6">
              <w:rPr>
                <w:rFonts w:asciiTheme="minorHAnsi" w:hAnsiTheme="minorHAnsi" w:cstheme="minorHAnsi"/>
                <w:sz w:val="22"/>
              </w:rPr>
              <w:t>(12), 2135</w:t>
            </w:r>
            <w:r w:rsidRPr="00143CB6">
              <w:rPr>
                <w:rFonts w:ascii="Cambria Math" w:hAnsi="Cambria Math" w:cs="Cambria Math"/>
                <w:sz w:val="22"/>
              </w:rPr>
              <w:t>‑</w:t>
            </w:r>
            <w:r w:rsidRPr="00143CB6">
              <w:rPr>
                <w:rFonts w:asciiTheme="minorHAnsi" w:hAnsiTheme="minorHAnsi" w:cstheme="minorHAnsi"/>
                <w:sz w:val="22"/>
              </w:rPr>
              <w:t>2153. https://doi.org/10.1111/fwb.13609</w:t>
            </w:r>
          </w:p>
          <w:p w14:paraId="3B459E2B"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Grennfelt, P., Engleryd, A., Forsius, M., Hov, Ø., Rodhe, H., &amp; Cowling, E. (2020). Acid rain and air pollution : 50 years of progress in environmental science and policy. </w:t>
            </w:r>
            <w:r w:rsidRPr="00143CB6">
              <w:rPr>
                <w:rFonts w:asciiTheme="minorHAnsi" w:hAnsiTheme="minorHAnsi" w:cstheme="minorHAnsi"/>
                <w:i/>
                <w:iCs/>
                <w:sz w:val="22"/>
              </w:rPr>
              <w:t>Ambio</w:t>
            </w:r>
            <w:r w:rsidRPr="00143CB6">
              <w:rPr>
                <w:rFonts w:asciiTheme="minorHAnsi" w:hAnsiTheme="minorHAnsi" w:cstheme="minorHAnsi"/>
                <w:sz w:val="22"/>
              </w:rPr>
              <w:t xml:space="preserve">, </w:t>
            </w:r>
            <w:r w:rsidRPr="00143CB6">
              <w:rPr>
                <w:rFonts w:asciiTheme="minorHAnsi" w:hAnsiTheme="minorHAnsi" w:cstheme="minorHAnsi"/>
                <w:i/>
                <w:iCs/>
                <w:sz w:val="22"/>
              </w:rPr>
              <w:t>49</w:t>
            </w:r>
            <w:r w:rsidRPr="00143CB6">
              <w:rPr>
                <w:rFonts w:asciiTheme="minorHAnsi" w:hAnsiTheme="minorHAnsi" w:cstheme="minorHAnsi"/>
                <w:sz w:val="22"/>
              </w:rPr>
              <w:t>(4), 849</w:t>
            </w:r>
            <w:r w:rsidRPr="00143CB6">
              <w:rPr>
                <w:rFonts w:ascii="Cambria Math" w:hAnsi="Cambria Math" w:cs="Cambria Math"/>
                <w:sz w:val="22"/>
              </w:rPr>
              <w:t>‑</w:t>
            </w:r>
            <w:r w:rsidRPr="00143CB6">
              <w:rPr>
                <w:rFonts w:asciiTheme="minorHAnsi" w:hAnsiTheme="minorHAnsi" w:cstheme="minorHAnsi"/>
                <w:sz w:val="22"/>
              </w:rPr>
              <w:t>864. https://doi.org/10.1007/s13280-019-01244-4</w:t>
            </w:r>
          </w:p>
          <w:p w14:paraId="78D1A35F"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Grill, G., Lehner, B., Thieme, M., Geenen, B., Tickner, D., Antonelli, F., Babu, S., Borrelli, P., Cheng, L., Crochetiere, H., Ehalt Macedo, H., Filgueiras, R., Goichot, M., Higgins, J., Hogan, Z., Lip, B., McClain, M. E., Meng, J., Mulligan, M., … Zarfl, C. (2019). Mapping the world’s free-flowing rivers. </w:t>
            </w:r>
            <w:r w:rsidRPr="00143CB6">
              <w:rPr>
                <w:rFonts w:asciiTheme="minorHAnsi" w:hAnsiTheme="minorHAnsi" w:cstheme="minorHAnsi"/>
                <w:i/>
                <w:iCs/>
                <w:sz w:val="22"/>
              </w:rPr>
              <w:t>Nature</w:t>
            </w:r>
            <w:r w:rsidRPr="00143CB6">
              <w:rPr>
                <w:rFonts w:asciiTheme="minorHAnsi" w:hAnsiTheme="minorHAnsi" w:cstheme="minorHAnsi"/>
                <w:sz w:val="22"/>
              </w:rPr>
              <w:t xml:space="preserve">, </w:t>
            </w:r>
            <w:r w:rsidRPr="00143CB6">
              <w:rPr>
                <w:rFonts w:asciiTheme="minorHAnsi" w:hAnsiTheme="minorHAnsi" w:cstheme="minorHAnsi"/>
                <w:i/>
                <w:iCs/>
                <w:sz w:val="22"/>
              </w:rPr>
              <w:t>569</w:t>
            </w:r>
            <w:r w:rsidRPr="00143CB6">
              <w:rPr>
                <w:rFonts w:asciiTheme="minorHAnsi" w:hAnsiTheme="minorHAnsi" w:cstheme="minorHAnsi"/>
                <w:sz w:val="22"/>
              </w:rPr>
              <w:t>(7755), 215</w:t>
            </w:r>
            <w:r w:rsidRPr="00143CB6">
              <w:rPr>
                <w:rFonts w:ascii="Cambria Math" w:hAnsi="Cambria Math" w:cs="Cambria Math"/>
                <w:sz w:val="22"/>
              </w:rPr>
              <w:t>‑</w:t>
            </w:r>
            <w:r w:rsidRPr="00143CB6">
              <w:rPr>
                <w:rFonts w:asciiTheme="minorHAnsi" w:hAnsiTheme="minorHAnsi" w:cstheme="minorHAnsi"/>
                <w:sz w:val="22"/>
              </w:rPr>
              <w:t>221. https://doi.org/10.1038/s41586-019-1111-9</w:t>
            </w:r>
          </w:p>
          <w:p w14:paraId="1D7565DB"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Havn, T. B., Thorstad, E. B., Borcherding, J., Heermann, L., Teichert, M. A. K., Ingendahl, D., Tambets, M., Sæther, S. A., &amp; Økland, F. (2020). Impacts of a weir and power station on downstream migrating Atlantic salmon smolts in a German river. </w:t>
            </w:r>
            <w:r w:rsidRPr="00143CB6">
              <w:rPr>
                <w:rFonts w:asciiTheme="minorHAnsi" w:hAnsiTheme="minorHAnsi" w:cstheme="minorHAnsi"/>
                <w:i/>
                <w:iCs/>
                <w:sz w:val="22"/>
              </w:rPr>
              <w:t>River Research and Applications</w:t>
            </w:r>
            <w:r w:rsidRPr="00143CB6">
              <w:rPr>
                <w:rFonts w:asciiTheme="minorHAnsi" w:hAnsiTheme="minorHAnsi" w:cstheme="minorHAnsi"/>
                <w:sz w:val="22"/>
              </w:rPr>
              <w:t xml:space="preserve">, </w:t>
            </w:r>
            <w:r w:rsidRPr="00143CB6">
              <w:rPr>
                <w:rFonts w:asciiTheme="minorHAnsi" w:hAnsiTheme="minorHAnsi" w:cstheme="minorHAnsi"/>
                <w:i/>
                <w:iCs/>
                <w:sz w:val="22"/>
              </w:rPr>
              <w:t>36</w:t>
            </w:r>
            <w:r w:rsidRPr="00143CB6">
              <w:rPr>
                <w:rFonts w:asciiTheme="minorHAnsi" w:hAnsiTheme="minorHAnsi" w:cstheme="minorHAnsi"/>
                <w:sz w:val="22"/>
              </w:rPr>
              <w:t>(5), 784</w:t>
            </w:r>
            <w:r w:rsidRPr="00143CB6">
              <w:rPr>
                <w:rFonts w:ascii="Cambria Math" w:hAnsi="Cambria Math" w:cs="Cambria Math"/>
                <w:sz w:val="22"/>
              </w:rPr>
              <w:t>‑</w:t>
            </w:r>
            <w:r w:rsidRPr="00143CB6">
              <w:rPr>
                <w:rFonts w:asciiTheme="minorHAnsi" w:hAnsiTheme="minorHAnsi" w:cstheme="minorHAnsi"/>
                <w:sz w:val="22"/>
              </w:rPr>
              <w:t>796. https://doi.org/10.1002/rra.3590</w:t>
            </w:r>
          </w:p>
          <w:p w14:paraId="3BD13D3A"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Hesthagen, T., Larsen, B. M., &amp; Fiske, P. (2011). Liming restores Atlantic salmon (Salmo salar) populations in acidified Norwegian rivers. </w:t>
            </w:r>
            <w:r w:rsidRPr="00143CB6">
              <w:rPr>
                <w:rFonts w:asciiTheme="minorHAnsi" w:hAnsiTheme="minorHAnsi" w:cstheme="minorHAnsi"/>
                <w:i/>
                <w:iCs/>
                <w:sz w:val="22"/>
              </w:rPr>
              <w:t>Canadian Journal of Fisheries and Aquatic Sciences</w:t>
            </w:r>
            <w:r w:rsidRPr="00143CB6">
              <w:rPr>
                <w:rFonts w:asciiTheme="minorHAnsi" w:hAnsiTheme="minorHAnsi" w:cstheme="minorHAnsi"/>
                <w:sz w:val="22"/>
              </w:rPr>
              <w:t xml:space="preserve">, </w:t>
            </w:r>
            <w:r w:rsidRPr="00143CB6">
              <w:rPr>
                <w:rFonts w:asciiTheme="minorHAnsi" w:hAnsiTheme="minorHAnsi" w:cstheme="minorHAnsi"/>
                <w:i/>
                <w:iCs/>
                <w:sz w:val="22"/>
              </w:rPr>
              <w:t>68</w:t>
            </w:r>
            <w:r w:rsidRPr="00143CB6">
              <w:rPr>
                <w:rFonts w:asciiTheme="minorHAnsi" w:hAnsiTheme="minorHAnsi" w:cstheme="minorHAnsi"/>
                <w:sz w:val="22"/>
              </w:rPr>
              <w:t>(2), 224</w:t>
            </w:r>
            <w:r w:rsidRPr="00143CB6">
              <w:rPr>
                <w:rFonts w:ascii="Cambria Math" w:hAnsi="Cambria Math" w:cs="Cambria Math"/>
                <w:sz w:val="22"/>
              </w:rPr>
              <w:t>‑</w:t>
            </w:r>
            <w:r w:rsidRPr="00143CB6">
              <w:rPr>
                <w:rFonts w:asciiTheme="minorHAnsi" w:hAnsiTheme="minorHAnsi" w:cstheme="minorHAnsi"/>
                <w:sz w:val="22"/>
              </w:rPr>
              <w:t>231. https://doi.org/10.1139/F10-133</w:t>
            </w:r>
          </w:p>
          <w:p w14:paraId="6526BC86" w14:textId="77777777" w:rsidR="0031651C" w:rsidRPr="004B2B84"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ICES. (2016). </w:t>
            </w:r>
            <w:r w:rsidRPr="004B2B84">
              <w:rPr>
                <w:rFonts w:asciiTheme="minorHAnsi" w:hAnsiTheme="minorHAnsi" w:cstheme="minorHAnsi"/>
                <w:sz w:val="22"/>
              </w:rPr>
              <w:t>Report of the Workshop to address the NASCO request for advice on possible effects of salmonid aquaculture on wild Atlantic salmon populations in the North Atlantic (WKCULEF), 1-3 March 2016, Charlottenlund, Denmark. ICES CM 2016/ACOM:42. 44 pp.</w:t>
            </w:r>
          </w:p>
          <w:p w14:paraId="1A1B5472"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ICES. (2017). </w:t>
            </w:r>
            <w:r w:rsidRPr="004B2B84">
              <w:rPr>
                <w:rFonts w:asciiTheme="minorHAnsi" w:hAnsiTheme="minorHAnsi" w:cstheme="minorHAnsi"/>
                <w:sz w:val="22"/>
              </w:rPr>
              <w:t xml:space="preserve">Report of the Workshop on Potential Impacts of Climate Change on Atlantic Salmon Stock Dynamics (WKCCISAL) </w:t>
            </w:r>
            <w:r w:rsidRPr="00143CB6">
              <w:rPr>
                <w:rFonts w:asciiTheme="minorHAnsi" w:hAnsiTheme="minorHAnsi" w:cstheme="minorHAnsi"/>
                <w:sz w:val="22"/>
              </w:rPr>
              <w:t>(ICES CM 2017/ACOM:39; p. 90). International Council for the Exploration of the Sea. https://www.ices.dk/sites/pub/Publication%20Reports/Expert%20Group%20Report/acom/2017/WKCCISAL/wkccisal_2017.pdf</w:t>
            </w:r>
          </w:p>
          <w:p w14:paraId="2583653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ICES. (2021). </w:t>
            </w:r>
            <w:r w:rsidRPr="004B2B84">
              <w:rPr>
                <w:rFonts w:asciiTheme="minorHAnsi" w:hAnsiTheme="minorHAnsi" w:cstheme="minorHAnsi"/>
                <w:sz w:val="22"/>
              </w:rPr>
              <w:t>Working Group on North Atlantic Salmon</w:t>
            </w:r>
            <w:r w:rsidRPr="00143CB6">
              <w:rPr>
                <w:rFonts w:asciiTheme="minorHAnsi" w:hAnsiTheme="minorHAnsi" w:cstheme="minorHAnsi"/>
                <w:sz w:val="22"/>
              </w:rPr>
              <w:t>. https://doi.org/10.17895/ICES.PUB.7923</w:t>
            </w:r>
          </w:p>
          <w:p w14:paraId="3CCFCE78"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Jackson, F. L., Fryer, R. J., Hannah, D. M., Millar, C. P., &amp; Malcolm, I. A. (2018). A spatio-temporal statistical model of maximum daily river temperatures to inform the management of Scotland’s Atlantic salmon rivers under climate change. </w:t>
            </w:r>
            <w:r w:rsidRPr="00143CB6">
              <w:rPr>
                <w:rFonts w:asciiTheme="minorHAnsi" w:hAnsiTheme="minorHAnsi" w:cstheme="minorHAnsi"/>
                <w:i/>
                <w:iCs/>
                <w:sz w:val="22"/>
              </w:rPr>
              <w:t>Science of The Total Environment</w:t>
            </w:r>
            <w:r w:rsidRPr="00143CB6">
              <w:rPr>
                <w:rFonts w:asciiTheme="minorHAnsi" w:hAnsiTheme="minorHAnsi" w:cstheme="minorHAnsi"/>
                <w:sz w:val="22"/>
              </w:rPr>
              <w:t xml:space="preserve">, </w:t>
            </w:r>
            <w:r w:rsidRPr="00143CB6">
              <w:rPr>
                <w:rFonts w:asciiTheme="minorHAnsi" w:hAnsiTheme="minorHAnsi" w:cstheme="minorHAnsi"/>
                <w:i/>
                <w:iCs/>
                <w:sz w:val="22"/>
              </w:rPr>
              <w:t>612</w:t>
            </w:r>
            <w:r w:rsidRPr="00143CB6">
              <w:rPr>
                <w:rFonts w:asciiTheme="minorHAnsi" w:hAnsiTheme="minorHAnsi" w:cstheme="minorHAnsi"/>
                <w:sz w:val="22"/>
              </w:rPr>
              <w:t>, 1543</w:t>
            </w:r>
            <w:r w:rsidRPr="00143CB6">
              <w:rPr>
                <w:rFonts w:ascii="Cambria Math" w:hAnsi="Cambria Math" w:cs="Cambria Math"/>
                <w:sz w:val="22"/>
              </w:rPr>
              <w:t>‑</w:t>
            </w:r>
            <w:r w:rsidRPr="00143CB6">
              <w:rPr>
                <w:rFonts w:asciiTheme="minorHAnsi" w:hAnsiTheme="minorHAnsi" w:cstheme="minorHAnsi"/>
                <w:sz w:val="22"/>
              </w:rPr>
              <w:t>1558. https://doi.org/10.1016/j.scitotenv.2017.09.010</w:t>
            </w:r>
          </w:p>
          <w:p w14:paraId="0B30AE5C"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Jacobson, P., Whitlock, R., Huss, M., Leonardsson, K., Östergren, J., &amp; Gårdmark, A. (2021). Growth variation of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at sea affects their population-specific reproductive potential. </w:t>
            </w:r>
            <w:r w:rsidRPr="00143CB6">
              <w:rPr>
                <w:rFonts w:asciiTheme="minorHAnsi" w:hAnsiTheme="minorHAnsi" w:cstheme="minorHAnsi"/>
                <w:i/>
                <w:iCs/>
                <w:sz w:val="22"/>
              </w:rPr>
              <w:t>Marine Ecology Progress Series</w:t>
            </w:r>
            <w:r w:rsidRPr="00143CB6">
              <w:rPr>
                <w:rFonts w:asciiTheme="minorHAnsi" w:hAnsiTheme="minorHAnsi" w:cstheme="minorHAnsi"/>
                <w:sz w:val="22"/>
              </w:rPr>
              <w:t xml:space="preserve">, </w:t>
            </w:r>
            <w:r w:rsidRPr="00143CB6">
              <w:rPr>
                <w:rFonts w:asciiTheme="minorHAnsi" w:hAnsiTheme="minorHAnsi" w:cstheme="minorHAnsi"/>
                <w:i/>
                <w:iCs/>
                <w:sz w:val="22"/>
              </w:rPr>
              <w:t>671</w:t>
            </w:r>
            <w:r w:rsidRPr="00143CB6">
              <w:rPr>
                <w:rFonts w:asciiTheme="minorHAnsi" w:hAnsiTheme="minorHAnsi" w:cstheme="minorHAnsi"/>
                <w:sz w:val="22"/>
              </w:rPr>
              <w:t>, 165</w:t>
            </w:r>
            <w:r w:rsidRPr="00143CB6">
              <w:rPr>
                <w:rFonts w:ascii="Cambria Math" w:hAnsi="Cambria Math" w:cs="Cambria Math"/>
                <w:sz w:val="22"/>
              </w:rPr>
              <w:t>‑</w:t>
            </w:r>
            <w:r w:rsidRPr="00143CB6">
              <w:rPr>
                <w:rFonts w:asciiTheme="minorHAnsi" w:hAnsiTheme="minorHAnsi" w:cstheme="minorHAnsi"/>
                <w:sz w:val="22"/>
              </w:rPr>
              <w:t>174. https://doi.org/10.3354/meps13734</w:t>
            </w:r>
          </w:p>
          <w:p w14:paraId="659DADF3"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Jensen, A. J., Karlsson, S., Fiske, P., Hansen, L. P., Østborg, G. M., &amp; Hindar, K. (2014). Origin and life history of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near their northernmost oceanic limit. </w:t>
            </w:r>
            <w:r w:rsidRPr="00143CB6">
              <w:rPr>
                <w:rFonts w:asciiTheme="minorHAnsi" w:hAnsiTheme="minorHAnsi" w:cstheme="minorHAnsi"/>
                <w:i/>
                <w:iCs/>
                <w:sz w:val="22"/>
              </w:rPr>
              <w:t>Canadian Journal of Fisheries and Aquatic Sciences</w:t>
            </w:r>
            <w:r w:rsidRPr="00143CB6">
              <w:rPr>
                <w:rFonts w:asciiTheme="minorHAnsi" w:hAnsiTheme="minorHAnsi" w:cstheme="minorHAnsi"/>
                <w:sz w:val="22"/>
              </w:rPr>
              <w:t xml:space="preserve">, </w:t>
            </w:r>
            <w:r w:rsidRPr="00143CB6">
              <w:rPr>
                <w:rFonts w:asciiTheme="minorHAnsi" w:hAnsiTheme="minorHAnsi" w:cstheme="minorHAnsi"/>
                <w:i/>
                <w:iCs/>
                <w:sz w:val="22"/>
              </w:rPr>
              <w:t>71</w:t>
            </w:r>
            <w:r w:rsidRPr="00143CB6">
              <w:rPr>
                <w:rFonts w:asciiTheme="minorHAnsi" w:hAnsiTheme="minorHAnsi" w:cstheme="minorHAnsi"/>
                <w:sz w:val="22"/>
              </w:rPr>
              <w:t>(11), 1740</w:t>
            </w:r>
            <w:r w:rsidRPr="00143CB6">
              <w:rPr>
                <w:rFonts w:ascii="Cambria Math" w:hAnsi="Cambria Math" w:cs="Cambria Math"/>
                <w:sz w:val="22"/>
              </w:rPr>
              <w:t>‑</w:t>
            </w:r>
            <w:r w:rsidRPr="00143CB6">
              <w:rPr>
                <w:rFonts w:asciiTheme="minorHAnsi" w:hAnsiTheme="minorHAnsi" w:cstheme="minorHAnsi"/>
                <w:sz w:val="22"/>
              </w:rPr>
              <w:t>1746. https://doi.org/10.1139/cjfas-2014-0169</w:t>
            </w:r>
          </w:p>
          <w:p w14:paraId="6D273BC2"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Jepsen, N., Flávio, H., &amp; Koed, A. (2019). The impact of Cormorant predation on Atlantic salmon and Sea trout smolt survival. </w:t>
            </w:r>
            <w:r w:rsidRPr="00143CB6">
              <w:rPr>
                <w:rFonts w:asciiTheme="minorHAnsi" w:hAnsiTheme="minorHAnsi" w:cstheme="minorHAnsi"/>
                <w:i/>
                <w:iCs/>
                <w:sz w:val="22"/>
              </w:rPr>
              <w:t>Fisheries Management and Ecology</w:t>
            </w:r>
            <w:r w:rsidRPr="00143CB6">
              <w:rPr>
                <w:rFonts w:asciiTheme="minorHAnsi" w:hAnsiTheme="minorHAnsi" w:cstheme="minorHAnsi"/>
                <w:sz w:val="22"/>
              </w:rPr>
              <w:t xml:space="preserve">, </w:t>
            </w:r>
            <w:r w:rsidRPr="00143CB6">
              <w:rPr>
                <w:rFonts w:asciiTheme="minorHAnsi" w:hAnsiTheme="minorHAnsi" w:cstheme="minorHAnsi"/>
                <w:i/>
                <w:iCs/>
                <w:sz w:val="22"/>
              </w:rPr>
              <w:t>26</w:t>
            </w:r>
            <w:r w:rsidRPr="00143CB6">
              <w:rPr>
                <w:rFonts w:asciiTheme="minorHAnsi" w:hAnsiTheme="minorHAnsi" w:cstheme="minorHAnsi"/>
                <w:sz w:val="22"/>
              </w:rPr>
              <w:t>(2), 183</w:t>
            </w:r>
            <w:r w:rsidRPr="00143CB6">
              <w:rPr>
                <w:rFonts w:ascii="Cambria Math" w:hAnsi="Cambria Math" w:cs="Cambria Math"/>
                <w:sz w:val="22"/>
              </w:rPr>
              <w:t>‑</w:t>
            </w:r>
            <w:r w:rsidRPr="00143CB6">
              <w:rPr>
                <w:rFonts w:asciiTheme="minorHAnsi" w:hAnsiTheme="minorHAnsi" w:cstheme="minorHAnsi"/>
                <w:sz w:val="22"/>
              </w:rPr>
              <w:t>186. https://doi.org/10.1111/fme.12329</w:t>
            </w:r>
          </w:p>
          <w:p w14:paraId="152C84A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Jonsson, B., &amp; Jonsson, N. (2009). A review of the likely effects of climate change on anadromous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and brown trout </w:t>
            </w:r>
            <w:r w:rsidRPr="00143CB6">
              <w:rPr>
                <w:rFonts w:asciiTheme="minorHAnsi" w:hAnsiTheme="minorHAnsi" w:cstheme="minorHAnsi"/>
                <w:i/>
                <w:sz w:val="22"/>
              </w:rPr>
              <w:t>Salmo trutta</w:t>
            </w:r>
            <w:r w:rsidRPr="00143CB6">
              <w:rPr>
                <w:rFonts w:asciiTheme="minorHAnsi" w:hAnsiTheme="minorHAnsi" w:cstheme="minorHAnsi"/>
                <w:sz w:val="22"/>
              </w:rPr>
              <w:t xml:space="preserve">, with particular reference to water temperature and flow. </w:t>
            </w:r>
            <w:r w:rsidRPr="00143CB6">
              <w:rPr>
                <w:rFonts w:asciiTheme="minorHAnsi" w:hAnsiTheme="minorHAnsi" w:cstheme="minorHAnsi"/>
                <w:i/>
                <w:iCs/>
                <w:sz w:val="22"/>
              </w:rPr>
              <w:t>Journal of Fish Biology</w:t>
            </w:r>
            <w:r w:rsidRPr="00143CB6">
              <w:rPr>
                <w:rFonts w:asciiTheme="minorHAnsi" w:hAnsiTheme="minorHAnsi" w:cstheme="minorHAnsi"/>
                <w:sz w:val="22"/>
              </w:rPr>
              <w:t xml:space="preserve">, </w:t>
            </w:r>
            <w:r w:rsidRPr="00143CB6">
              <w:rPr>
                <w:rFonts w:asciiTheme="minorHAnsi" w:hAnsiTheme="minorHAnsi" w:cstheme="minorHAnsi"/>
                <w:i/>
                <w:iCs/>
                <w:sz w:val="22"/>
              </w:rPr>
              <w:t>75</w:t>
            </w:r>
            <w:r w:rsidRPr="00143CB6">
              <w:rPr>
                <w:rFonts w:asciiTheme="minorHAnsi" w:hAnsiTheme="minorHAnsi" w:cstheme="minorHAnsi"/>
                <w:sz w:val="22"/>
              </w:rPr>
              <w:t>(10), 2381</w:t>
            </w:r>
            <w:r w:rsidRPr="00143CB6">
              <w:rPr>
                <w:rFonts w:ascii="Cambria Math" w:hAnsi="Cambria Math" w:cs="Cambria Math"/>
                <w:sz w:val="22"/>
              </w:rPr>
              <w:t>‑</w:t>
            </w:r>
            <w:r w:rsidRPr="00143CB6">
              <w:rPr>
                <w:rFonts w:asciiTheme="minorHAnsi" w:hAnsiTheme="minorHAnsi" w:cstheme="minorHAnsi"/>
                <w:sz w:val="22"/>
              </w:rPr>
              <w:t>2447. https://doi.org/10.1111/j.1095-8649.2009.02380.x</w:t>
            </w:r>
          </w:p>
          <w:p w14:paraId="67EABCC8"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Kennedy, R. J., Campbell, W., Gallagher, K., &amp; Evans, D. (2020). River lamprey present an unusual predation threat to Atlantic salmon smolts in Lough Neagh, Northern Ireland. </w:t>
            </w:r>
            <w:r w:rsidRPr="00143CB6">
              <w:rPr>
                <w:rFonts w:asciiTheme="minorHAnsi" w:hAnsiTheme="minorHAnsi" w:cstheme="minorHAnsi"/>
                <w:i/>
                <w:iCs/>
                <w:sz w:val="22"/>
              </w:rPr>
              <w:t>Journal of Fish Biology</w:t>
            </w:r>
            <w:r w:rsidRPr="00143CB6">
              <w:rPr>
                <w:rFonts w:asciiTheme="minorHAnsi" w:hAnsiTheme="minorHAnsi" w:cstheme="minorHAnsi"/>
                <w:sz w:val="22"/>
              </w:rPr>
              <w:t xml:space="preserve">, </w:t>
            </w:r>
            <w:r w:rsidRPr="00143CB6">
              <w:rPr>
                <w:rFonts w:asciiTheme="minorHAnsi" w:hAnsiTheme="minorHAnsi" w:cstheme="minorHAnsi"/>
                <w:i/>
                <w:iCs/>
                <w:sz w:val="22"/>
              </w:rPr>
              <w:t>97</w:t>
            </w:r>
            <w:r w:rsidRPr="00143CB6">
              <w:rPr>
                <w:rFonts w:asciiTheme="minorHAnsi" w:hAnsiTheme="minorHAnsi" w:cstheme="minorHAnsi"/>
                <w:sz w:val="22"/>
              </w:rPr>
              <w:t>(4), 1265</w:t>
            </w:r>
            <w:r w:rsidRPr="00143CB6">
              <w:rPr>
                <w:rFonts w:ascii="Cambria Math" w:hAnsi="Cambria Math" w:cs="Cambria Math"/>
                <w:sz w:val="22"/>
              </w:rPr>
              <w:t>‑</w:t>
            </w:r>
            <w:r w:rsidRPr="00143CB6">
              <w:rPr>
                <w:rFonts w:asciiTheme="minorHAnsi" w:hAnsiTheme="minorHAnsi" w:cstheme="minorHAnsi"/>
                <w:sz w:val="22"/>
              </w:rPr>
              <w:t>1267. https://doi.org/10.1111/jfb.14477</w:t>
            </w:r>
          </w:p>
          <w:p w14:paraId="33593FFD"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Koed, A., Birnie-Gauvin, K., Sivebæk, F., &amp; Aarestrup, K. (2020). From endangered to sustainable : Multi-faceted management in rivers and coasts improves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populations in Denmark. </w:t>
            </w:r>
            <w:r w:rsidRPr="00143CB6">
              <w:rPr>
                <w:rFonts w:asciiTheme="minorHAnsi" w:hAnsiTheme="minorHAnsi" w:cstheme="minorHAnsi"/>
                <w:i/>
                <w:iCs/>
                <w:sz w:val="22"/>
              </w:rPr>
              <w:t>Fisheries Management and Ecology</w:t>
            </w:r>
            <w:r w:rsidRPr="00143CB6">
              <w:rPr>
                <w:rFonts w:asciiTheme="minorHAnsi" w:hAnsiTheme="minorHAnsi" w:cstheme="minorHAnsi"/>
                <w:sz w:val="22"/>
              </w:rPr>
              <w:t xml:space="preserve">, </w:t>
            </w:r>
            <w:r w:rsidRPr="00143CB6">
              <w:rPr>
                <w:rFonts w:asciiTheme="minorHAnsi" w:hAnsiTheme="minorHAnsi" w:cstheme="minorHAnsi"/>
                <w:i/>
                <w:iCs/>
                <w:sz w:val="22"/>
              </w:rPr>
              <w:t>27</w:t>
            </w:r>
            <w:r w:rsidRPr="00143CB6">
              <w:rPr>
                <w:rFonts w:asciiTheme="minorHAnsi" w:hAnsiTheme="minorHAnsi" w:cstheme="minorHAnsi"/>
                <w:sz w:val="22"/>
              </w:rPr>
              <w:t>(1), 64</w:t>
            </w:r>
            <w:r w:rsidRPr="00143CB6">
              <w:rPr>
                <w:rFonts w:ascii="Cambria Math" w:hAnsi="Cambria Math" w:cs="Cambria Math"/>
                <w:sz w:val="22"/>
              </w:rPr>
              <w:t>‑</w:t>
            </w:r>
            <w:r w:rsidRPr="00143CB6">
              <w:rPr>
                <w:rFonts w:asciiTheme="minorHAnsi" w:hAnsiTheme="minorHAnsi" w:cstheme="minorHAnsi"/>
                <w:sz w:val="22"/>
              </w:rPr>
              <w:t>76. https://doi.org/10.1111/fme.12385</w:t>
            </w:r>
          </w:p>
          <w:p w14:paraId="01F8A601"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Legrand, M., Briand, C., Buisson, L., Artur, G., Azam, D., Baisez, A., Barracou, D., Bourré, N., Carry, L., Caudal, A.-L., Charrier, F., Corre, J., Croguennec, E., Mikaélian, S. D., Josset, Q., Gurun, L. L., Schaeffer, F., &amp; Laffaille, P. (2020). Contrasting trends between species and catchments in diadromous fish counts over the last 30 years in France. </w:t>
            </w:r>
            <w:r w:rsidRPr="00143CB6">
              <w:rPr>
                <w:rFonts w:asciiTheme="minorHAnsi" w:hAnsiTheme="minorHAnsi" w:cstheme="minorHAnsi"/>
                <w:i/>
                <w:iCs/>
                <w:sz w:val="22"/>
              </w:rPr>
              <w:t>Knowledge &amp; Management of Aquatic Ecosystems</w:t>
            </w:r>
            <w:r w:rsidRPr="00143CB6">
              <w:rPr>
                <w:rFonts w:asciiTheme="minorHAnsi" w:hAnsiTheme="minorHAnsi" w:cstheme="minorHAnsi"/>
                <w:sz w:val="22"/>
              </w:rPr>
              <w:t xml:space="preserve">, </w:t>
            </w:r>
            <w:r w:rsidRPr="00143CB6">
              <w:rPr>
                <w:rFonts w:asciiTheme="minorHAnsi" w:hAnsiTheme="minorHAnsi" w:cstheme="minorHAnsi"/>
                <w:i/>
                <w:iCs/>
                <w:sz w:val="22"/>
              </w:rPr>
              <w:t>421</w:t>
            </w:r>
            <w:r w:rsidRPr="00143CB6">
              <w:rPr>
                <w:rFonts w:asciiTheme="minorHAnsi" w:hAnsiTheme="minorHAnsi" w:cstheme="minorHAnsi"/>
                <w:sz w:val="22"/>
              </w:rPr>
              <w:t>, 7. https://doi.org/10.1051/kmae/2019046</w:t>
            </w:r>
          </w:p>
          <w:p w14:paraId="3B0526B7"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Lennox, R. J., Alexandre, C. M., Almeida, P. R., Bailey, K. M., Barlaup, B. T., Bøe, K., Breukelaar, A., Erkinaro, J., Forseth, T., Gabrielsen, S.-E., Halfyard, E., Hanssen, E. M., Karlsson, S., Koch, S., Koed, A., Langåker, R. M., Lo, H., Lucas, M. C., Mahlum, S., … Vollset, K. W. (2021). The quest for successful Atlantic salmon restoration : Perspectives, priorities, and maxims. </w:t>
            </w:r>
            <w:r w:rsidRPr="00143CB6">
              <w:rPr>
                <w:rFonts w:asciiTheme="minorHAnsi" w:hAnsiTheme="minorHAnsi" w:cstheme="minorHAnsi"/>
                <w:i/>
                <w:iCs/>
                <w:sz w:val="22"/>
              </w:rPr>
              <w:t>ICES Journal of Marine Science</w:t>
            </w:r>
            <w:r w:rsidRPr="00143CB6">
              <w:rPr>
                <w:rFonts w:asciiTheme="minorHAnsi" w:hAnsiTheme="minorHAnsi" w:cstheme="minorHAnsi"/>
                <w:sz w:val="22"/>
              </w:rPr>
              <w:t>, fsab201. https://doi.org/10.1093/icesjms/fsab201</w:t>
            </w:r>
          </w:p>
          <w:p w14:paraId="4FAB16B8"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Malcolm, I. A., Millidine, K. J., Glover, R. S., Jackson, F. L., Millar, C. P., &amp; Fryer, R. J. (2019). Development of a large-scale juvenile density model to inform the assessment and management of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populations in Scotland. </w:t>
            </w:r>
            <w:r w:rsidRPr="00143CB6">
              <w:rPr>
                <w:rFonts w:asciiTheme="minorHAnsi" w:hAnsiTheme="minorHAnsi" w:cstheme="minorHAnsi"/>
                <w:i/>
                <w:iCs/>
                <w:sz w:val="22"/>
              </w:rPr>
              <w:t>Ecological Indicators</w:t>
            </w:r>
            <w:r w:rsidRPr="00143CB6">
              <w:rPr>
                <w:rFonts w:asciiTheme="minorHAnsi" w:hAnsiTheme="minorHAnsi" w:cstheme="minorHAnsi"/>
                <w:sz w:val="22"/>
              </w:rPr>
              <w:t xml:space="preserve">, </w:t>
            </w:r>
            <w:r w:rsidRPr="00143CB6">
              <w:rPr>
                <w:rFonts w:asciiTheme="minorHAnsi" w:hAnsiTheme="minorHAnsi" w:cstheme="minorHAnsi"/>
                <w:i/>
                <w:iCs/>
                <w:sz w:val="22"/>
              </w:rPr>
              <w:t>96</w:t>
            </w:r>
            <w:r w:rsidRPr="00143CB6">
              <w:rPr>
                <w:rFonts w:asciiTheme="minorHAnsi" w:hAnsiTheme="minorHAnsi" w:cstheme="minorHAnsi"/>
                <w:sz w:val="22"/>
              </w:rPr>
              <w:t>, 303</w:t>
            </w:r>
            <w:r w:rsidRPr="00143CB6">
              <w:rPr>
                <w:rFonts w:ascii="Cambria Math" w:hAnsi="Cambria Math" w:cs="Cambria Math"/>
                <w:sz w:val="22"/>
              </w:rPr>
              <w:t>‑</w:t>
            </w:r>
            <w:r w:rsidRPr="00143CB6">
              <w:rPr>
                <w:rFonts w:asciiTheme="minorHAnsi" w:hAnsiTheme="minorHAnsi" w:cstheme="minorHAnsi"/>
                <w:sz w:val="22"/>
              </w:rPr>
              <w:t>316. https://doi.org/10.1016/j.ecolind.2018.09.005</w:t>
            </w:r>
          </w:p>
          <w:p w14:paraId="71937253"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Maoiléidigh, N. Ó. (2018). </w:t>
            </w:r>
            <w:r w:rsidRPr="00143CB6">
              <w:rPr>
                <w:rFonts w:asciiTheme="minorHAnsi" w:hAnsiTheme="minorHAnsi" w:cstheme="minorHAnsi"/>
                <w:i/>
                <w:iCs/>
                <w:sz w:val="22"/>
              </w:rPr>
              <w:t>Fifty years of marine tag recoveries from Atlantic salmon</w:t>
            </w:r>
            <w:r w:rsidRPr="00143CB6">
              <w:rPr>
                <w:rFonts w:asciiTheme="minorHAnsi" w:hAnsiTheme="minorHAnsi" w:cstheme="minorHAnsi"/>
                <w:sz w:val="22"/>
              </w:rPr>
              <w:t>. International Council for the Exploration of the Sea.</w:t>
            </w:r>
          </w:p>
          <w:p w14:paraId="4095C00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Millane, M., Walsh, L., Roche, W. K., &amp; Gargan, P. G. (2019). Unprecedented widespread occurrence of Pink Salmon </w:t>
            </w:r>
            <w:r w:rsidRPr="00143CB6">
              <w:rPr>
                <w:rFonts w:asciiTheme="minorHAnsi" w:hAnsiTheme="minorHAnsi" w:cstheme="minorHAnsi"/>
                <w:i/>
                <w:sz w:val="22"/>
              </w:rPr>
              <w:t>Oncorhynchus gorbuscha</w:t>
            </w:r>
            <w:r w:rsidRPr="00143CB6">
              <w:rPr>
                <w:rFonts w:asciiTheme="minorHAnsi" w:hAnsiTheme="minorHAnsi" w:cstheme="minorHAnsi"/>
                <w:sz w:val="22"/>
              </w:rPr>
              <w:t xml:space="preserve"> in Ireland in 2017. </w:t>
            </w:r>
            <w:r w:rsidRPr="00143CB6">
              <w:rPr>
                <w:rFonts w:asciiTheme="minorHAnsi" w:hAnsiTheme="minorHAnsi" w:cstheme="minorHAnsi"/>
                <w:i/>
                <w:iCs/>
                <w:sz w:val="22"/>
              </w:rPr>
              <w:t>Journal of Fish Biology</w:t>
            </w:r>
            <w:r w:rsidRPr="00143CB6">
              <w:rPr>
                <w:rFonts w:asciiTheme="minorHAnsi" w:hAnsiTheme="minorHAnsi" w:cstheme="minorHAnsi"/>
                <w:sz w:val="22"/>
              </w:rPr>
              <w:t xml:space="preserve">, </w:t>
            </w:r>
            <w:r w:rsidRPr="00143CB6">
              <w:rPr>
                <w:rFonts w:asciiTheme="minorHAnsi" w:hAnsiTheme="minorHAnsi" w:cstheme="minorHAnsi"/>
                <w:i/>
                <w:iCs/>
                <w:sz w:val="22"/>
              </w:rPr>
              <w:t>95</w:t>
            </w:r>
            <w:r w:rsidRPr="00143CB6">
              <w:rPr>
                <w:rFonts w:asciiTheme="minorHAnsi" w:hAnsiTheme="minorHAnsi" w:cstheme="minorHAnsi"/>
                <w:sz w:val="22"/>
              </w:rPr>
              <w:t>(2), 651</w:t>
            </w:r>
            <w:r w:rsidRPr="00143CB6">
              <w:rPr>
                <w:rFonts w:ascii="Cambria Math" w:hAnsi="Cambria Math" w:cs="Cambria Math"/>
                <w:sz w:val="22"/>
              </w:rPr>
              <w:t>‑</w:t>
            </w:r>
            <w:r w:rsidRPr="00143CB6">
              <w:rPr>
                <w:rFonts w:asciiTheme="minorHAnsi" w:hAnsiTheme="minorHAnsi" w:cstheme="minorHAnsi"/>
                <w:sz w:val="22"/>
              </w:rPr>
              <w:t>654. https://doi.org/10.1111/jfb.13994</w:t>
            </w:r>
          </w:p>
          <w:p w14:paraId="4BF5B420"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Monnerjahn, U. (2011).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L.) re-introduction in Germany : A status report on national programmes and activities. </w:t>
            </w:r>
            <w:r w:rsidRPr="00143CB6">
              <w:rPr>
                <w:rFonts w:asciiTheme="minorHAnsi" w:hAnsiTheme="minorHAnsi" w:cstheme="minorHAnsi"/>
                <w:i/>
                <w:iCs/>
                <w:sz w:val="22"/>
              </w:rPr>
              <w:t>Journal of Applied Ichthyology</w:t>
            </w:r>
            <w:r w:rsidRPr="00143CB6">
              <w:rPr>
                <w:rFonts w:asciiTheme="minorHAnsi" w:hAnsiTheme="minorHAnsi" w:cstheme="minorHAnsi"/>
                <w:sz w:val="22"/>
              </w:rPr>
              <w:t xml:space="preserve">, </w:t>
            </w:r>
            <w:r w:rsidRPr="00143CB6">
              <w:rPr>
                <w:rFonts w:asciiTheme="minorHAnsi" w:hAnsiTheme="minorHAnsi" w:cstheme="minorHAnsi"/>
                <w:i/>
                <w:iCs/>
                <w:sz w:val="22"/>
              </w:rPr>
              <w:t>27</w:t>
            </w:r>
            <w:r w:rsidRPr="00143CB6">
              <w:rPr>
                <w:rFonts w:asciiTheme="minorHAnsi" w:hAnsiTheme="minorHAnsi" w:cstheme="minorHAnsi"/>
                <w:sz w:val="22"/>
              </w:rPr>
              <w:t>(s3), 33</w:t>
            </w:r>
            <w:r w:rsidRPr="00143CB6">
              <w:rPr>
                <w:rFonts w:ascii="Cambria Math" w:hAnsi="Cambria Math" w:cs="Cambria Math"/>
                <w:sz w:val="22"/>
              </w:rPr>
              <w:t>‑</w:t>
            </w:r>
            <w:r w:rsidRPr="00143CB6">
              <w:rPr>
                <w:rFonts w:asciiTheme="minorHAnsi" w:hAnsiTheme="minorHAnsi" w:cstheme="minorHAnsi"/>
                <w:sz w:val="22"/>
              </w:rPr>
              <w:t>40. https://doi.org/10.1111/j.1439-0426.2011.01849.x</w:t>
            </w:r>
          </w:p>
          <w:p w14:paraId="2C0BFDB4"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Mota, M., Rochard, E., &amp; Antunes, C. (2016). </w:t>
            </w:r>
            <w:r w:rsidRPr="00143CB6">
              <w:rPr>
                <w:rFonts w:asciiTheme="minorHAnsi" w:hAnsiTheme="minorHAnsi" w:cstheme="minorHAnsi"/>
                <w:i/>
                <w:iCs/>
                <w:sz w:val="22"/>
              </w:rPr>
              <w:t>Status of the Diadromous Fish of the Iberian Peninsula : Past, Present and Trends</w:t>
            </w:r>
            <w:r w:rsidRPr="00143CB6">
              <w:rPr>
                <w:rFonts w:asciiTheme="minorHAnsi" w:hAnsiTheme="minorHAnsi" w:cstheme="minorHAnsi"/>
                <w:sz w:val="22"/>
              </w:rPr>
              <w:t xml:space="preserve">. </w:t>
            </w:r>
            <w:r w:rsidRPr="00143CB6">
              <w:rPr>
                <w:rFonts w:asciiTheme="minorHAnsi" w:hAnsiTheme="minorHAnsi" w:cstheme="minorHAnsi"/>
                <w:i/>
                <w:iCs/>
                <w:sz w:val="22"/>
              </w:rPr>
              <w:t>29</w:t>
            </w:r>
            <w:r w:rsidRPr="00143CB6">
              <w:rPr>
                <w:rFonts w:asciiTheme="minorHAnsi" w:hAnsiTheme="minorHAnsi" w:cstheme="minorHAnsi"/>
                <w:sz w:val="22"/>
              </w:rPr>
              <w:t>, 1</w:t>
            </w:r>
            <w:r w:rsidRPr="00143CB6">
              <w:rPr>
                <w:rFonts w:ascii="Cambria Math" w:hAnsi="Cambria Math" w:cs="Cambria Math"/>
                <w:sz w:val="22"/>
              </w:rPr>
              <w:t>‑</w:t>
            </w:r>
            <w:r w:rsidRPr="00143CB6">
              <w:rPr>
                <w:rFonts w:asciiTheme="minorHAnsi" w:hAnsiTheme="minorHAnsi" w:cstheme="minorHAnsi"/>
                <w:sz w:val="22"/>
              </w:rPr>
              <w:t>18.</w:t>
            </w:r>
          </w:p>
          <w:p w14:paraId="6310A034"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NASCO. (2017). </w:t>
            </w:r>
            <w:r w:rsidRPr="00143CB6">
              <w:rPr>
                <w:rFonts w:asciiTheme="minorHAnsi" w:hAnsiTheme="minorHAnsi" w:cstheme="minorHAnsi"/>
                <w:i/>
                <w:iCs/>
                <w:sz w:val="22"/>
              </w:rPr>
              <w:t>Annual Progress Report on Actions Taken Under the Implementation Plan for the Calendar Year 2016 EU-UK (England and Wales) (revised 28 April 2017 with updated estimate of unreported catch)</w:t>
            </w:r>
            <w:r w:rsidRPr="00143CB6">
              <w:rPr>
                <w:rFonts w:asciiTheme="minorHAnsi" w:hAnsiTheme="minorHAnsi" w:cstheme="minorHAnsi"/>
                <w:sz w:val="22"/>
              </w:rPr>
              <w:t xml:space="preserve"> (p. 28 p.). https://nasco.int/wp-content/uploads/2020/02/CNL_17_31rev_APR_EU_UK_EnglandandWales.pdf</w:t>
            </w:r>
          </w:p>
          <w:p w14:paraId="0FDEE57A"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NASCO. (2020a). </w:t>
            </w:r>
            <w:r w:rsidRPr="00143CB6">
              <w:rPr>
                <w:rFonts w:asciiTheme="minorHAnsi" w:hAnsiTheme="minorHAnsi" w:cstheme="minorHAnsi"/>
                <w:i/>
                <w:iCs/>
                <w:sz w:val="22"/>
              </w:rPr>
              <w:t>Annual Progress Report on Actions Taken Under the Implementation Plan for the Calendar Year 2020—UK-England and Wales</w:t>
            </w:r>
            <w:r w:rsidRPr="00143CB6">
              <w:rPr>
                <w:rFonts w:asciiTheme="minorHAnsi" w:hAnsiTheme="minorHAnsi" w:cstheme="minorHAnsi"/>
                <w:sz w:val="22"/>
              </w:rPr>
              <w:t xml:space="preserve"> (p. 30 p.). https://nasco.int/wp-content/uploads/2021/04/CNL2129_Annual-Progress-Report_UK-England-and-Wales.pdf</w:t>
            </w:r>
          </w:p>
          <w:p w14:paraId="75163316"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NASCO. (2020b). </w:t>
            </w:r>
            <w:r w:rsidRPr="00143CB6">
              <w:rPr>
                <w:rFonts w:asciiTheme="minorHAnsi" w:hAnsiTheme="minorHAnsi" w:cstheme="minorHAnsi"/>
                <w:i/>
                <w:iCs/>
                <w:sz w:val="22"/>
              </w:rPr>
              <w:t>State of North Atlantic Salmon</w:t>
            </w:r>
            <w:r w:rsidRPr="00143CB6">
              <w:rPr>
                <w:rFonts w:asciiTheme="minorHAnsi" w:hAnsiTheme="minorHAnsi" w:cstheme="minorHAnsi"/>
                <w:sz w:val="22"/>
              </w:rPr>
              <w:t>.</w:t>
            </w:r>
          </w:p>
          <w:p w14:paraId="6FB2D4EA"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Nicola, G. G., Elvira, B., Jonsson, B., Ayllón, D., &amp; Almodóvar, A. (2018). Local and global climatic drivers of Atlantic salmon decline in southern Europe. </w:t>
            </w:r>
            <w:r w:rsidRPr="00143CB6">
              <w:rPr>
                <w:rFonts w:asciiTheme="minorHAnsi" w:hAnsiTheme="minorHAnsi" w:cstheme="minorHAnsi"/>
                <w:i/>
                <w:iCs/>
                <w:sz w:val="22"/>
              </w:rPr>
              <w:t>Fisheries Research</w:t>
            </w:r>
            <w:r w:rsidRPr="00143CB6">
              <w:rPr>
                <w:rFonts w:asciiTheme="minorHAnsi" w:hAnsiTheme="minorHAnsi" w:cstheme="minorHAnsi"/>
                <w:sz w:val="22"/>
              </w:rPr>
              <w:t xml:space="preserve">, </w:t>
            </w:r>
            <w:r w:rsidRPr="00143CB6">
              <w:rPr>
                <w:rFonts w:asciiTheme="minorHAnsi" w:hAnsiTheme="minorHAnsi" w:cstheme="minorHAnsi"/>
                <w:i/>
                <w:iCs/>
                <w:sz w:val="22"/>
              </w:rPr>
              <w:t>198</w:t>
            </w:r>
            <w:r w:rsidRPr="00143CB6">
              <w:rPr>
                <w:rFonts w:asciiTheme="minorHAnsi" w:hAnsiTheme="minorHAnsi" w:cstheme="minorHAnsi"/>
                <w:sz w:val="22"/>
              </w:rPr>
              <w:t>, 78</w:t>
            </w:r>
            <w:r w:rsidRPr="00143CB6">
              <w:rPr>
                <w:rFonts w:ascii="Cambria Math" w:hAnsi="Cambria Math" w:cs="Cambria Math"/>
                <w:sz w:val="22"/>
              </w:rPr>
              <w:t>‑</w:t>
            </w:r>
            <w:r w:rsidRPr="00143CB6">
              <w:rPr>
                <w:rFonts w:asciiTheme="minorHAnsi" w:hAnsiTheme="minorHAnsi" w:cstheme="minorHAnsi"/>
                <w:sz w:val="22"/>
              </w:rPr>
              <w:t>85. https://doi.org/10.1016/j.fishres.2017.10.012</w:t>
            </w:r>
          </w:p>
          <w:p w14:paraId="3A9F1403"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OSPAR. (2008). </w:t>
            </w:r>
            <w:r w:rsidRPr="00355875">
              <w:rPr>
                <w:rFonts w:asciiTheme="minorHAnsi" w:hAnsiTheme="minorHAnsi" w:cstheme="minorHAnsi"/>
                <w:sz w:val="22"/>
              </w:rPr>
              <w:t>Case reports of the OSPAR List of Threatened and/or Declining Species and Habitats</w:t>
            </w:r>
            <w:r w:rsidRPr="00143CB6">
              <w:rPr>
                <w:rFonts w:asciiTheme="minorHAnsi" w:hAnsiTheme="minorHAnsi" w:cstheme="minorHAnsi"/>
                <w:sz w:val="22"/>
              </w:rPr>
              <w:t xml:space="preserve"> (Biodiversity series, p. 150 pp.).</w:t>
            </w:r>
          </w:p>
          <w:p w14:paraId="03CF8C70"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OSPAR. (2010). </w:t>
            </w:r>
            <w:r w:rsidRPr="00355875">
              <w:rPr>
                <w:rFonts w:asciiTheme="minorHAnsi" w:hAnsiTheme="minorHAnsi" w:cstheme="minorHAnsi"/>
                <w:sz w:val="22"/>
              </w:rPr>
              <w:t>Background Document for Atlantic salmon</w:t>
            </w:r>
            <w:r w:rsidRPr="00143CB6">
              <w:rPr>
                <w:rFonts w:asciiTheme="minorHAnsi" w:hAnsiTheme="minorHAnsi" w:cstheme="minorHAnsi"/>
                <w:i/>
                <w:iCs/>
                <w:sz w:val="22"/>
              </w:rPr>
              <w:t xml:space="preserve"> Salmo salar</w:t>
            </w:r>
            <w:r w:rsidRPr="00143CB6">
              <w:rPr>
                <w:rFonts w:asciiTheme="minorHAnsi" w:hAnsiTheme="minorHAnsi" w:cstheme="minorHAnsi"/>
                <w:sz w:val="22"/>
              </w:rPr>
              <w:t xml:space="preserve"> (OSPAR Commision report, p. 25 pp. + annex).</w:t>
            </w:r>
          </w:p>
          <w:p w14:paraId="4C4B53E4"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Perrier, C., Evanno, G., Belliard, J., Guyomard, R., &amp; Baglinière, J.-L. (2010). Natural recolonization of the Seine River by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of multiple origins. </w:t>
            </w:r>
            <w:r w:rsidRPr="00143CB6">
              <w:rPr>
                <w:rFonts w:asciiTheme="minorHAnsi" w:hAnsiTheme="minorHAnsi" w:cstheme="minorHAnsi"/>
                <w:i/>
                <w:iCs/>
                <w:sz w:val="22"/>
              </w:rPr>
              <w:t>Canadian Journal of Fisheries and Aquatic Sciences</w:t>
            </w:r>
            <w:r w:rsidRPr="00143CB6">
              <w:rPr>
                <w:rFonts w:asciiTheme="minorHAnsi" w:hAnsiTheme="minorHAnsi" w:cstheme="minorHAnsi"/>
                <w:sz w:val="22"/>
              </w:rPr>
              <w:t xml:space="preserve">, </w:t>
            </w:r>
            <w:r w:rsidRPr="00143CB6">
              <w:rPr>
                <w:rFonts w:asciiTheme="minorHAnsi" w:hAnsiTheme="minorHAnsi" w:cstheme="minorHAnsi"/>
                <w:i/>
                <w:iCs/>
                <w:sz w:val="22"/>
              </w:rPr>
              <w:t>67</w:t>
            </w:r>
            <w:r w:rsidRPr="00143CB6">
              <w:rPr>
                <w:rFonts w:asciiTheme="minorHAnsi" w:hAnsiTheme="minorHAnsi" w:cstheme="minorHAnsi"/>
                <w:sz w:val="22"/>
              </w:rPr>
              <w:t>(1), 1</w:t>
            </w:r>
            <w:r w:rsidRPr="00143CB6">
              <w:rPr>
                <w:rFonts w:ascii="Cambria Math" w:hAnsi="Cambria Math" w:cs="Cambria Math"/>
                <w:sz w:val="22"/>
              </w:rPr>
              <w:t>‑</w:t>
            </w:r>
            <w:r w:rsidRPr="00143CB6">
              <w:rPr>
                <w:rFonts w:asciiTheme="minorHAnsi" w:hAnsiTheme="minorHAnsi" w:cstheme="minorHAnsi"/>
                <w:sz w:val="22"/>
              </w:rPr>
              <w:t>4. https://doi.org/10.1139/F09-190</w:t>
            </w:r>
          </w:p>
          <w:p w14:paraId="00DE3C4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Prouzet, P., &amp; Michelet, N. (2019). Ecological Status of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L.) in France : Need for an Ecosystemic Approach. In T. Komatsu, H.-J. Ceccaldi, J. Yoshida, P. Prouzet, &amp; Y. Henocque (Éds.), </w:t>
            </w:r>
            <w:r w:rsidRPr="00143CB6">
              <w:rPr>
                <w:rFonts w:asciiTheme="minorHAnsi" w:hAnsiTheme="minorHAnsi" w:cstheme="minorHAnsi"/>
                <w:i/>
                <w:iCs/>
                <w:sz w:val="22"/>
              </w:rPr>
              <w:t>Oceanography Challenges to Future Earth</w:t>
            </w:r>
            <w:r w:rsidRPr="00143CB6">
              <w:rPr>
                <w:rFonts w:asciiTheme="minorHAnsi" w:hAnsiTheme="minorHAnsi" w:cstheme="minorHAnsi"/>
                <w:sz w:val="22"/>
              </w:rPr>
              <w:t xml:space="preserve"> (p. 249</w:t>
            </w:r>
            <w:r w:rsidRPr="00143CB6">
              <w:rPr>
                <w:rFonts w:ascii="Cambria Math" w:hAnsi="Cambria Math" w:cs="Cambria Math"/>
                <w:sz w:val="22"/>
              </w:rPr>
              <w:t>‑</w:t>
            </w:r>
            <w:r w:rsidRPr="00143CB6">
              <w:rPr>
                <w:rFonts w:asciiTheme="minorHAnsi" w:hAnsiTheme="minorHAnsi" w:cstheme="minorHAnsi"/>
                <w:sz w:val="22"/>
              </w:rPr>
              <w:t>276). Springer International Publishing. https://doi.org/10.1007/978-3-030-00138-4_20</w:t>
            </w:r>
          </w:p>
          <w:p w14:paraId="68BC3415"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Quinn, T. P., McGinnity, P., &amp; Cross, T. F. (2006). Long-term declines in body size and shifts in run timing of Atlantic salmon in Ireland. </w:t>
            </w:r>
            <w:r w:rsidRPr="00143CB6">
              <w:rPr>
                <w:rFonts w:asciiTheme="minorHAnsi" w:hAnsiTheme="minorHAnsi" w:cstheme="minorHAnsi"/>
                <w:i/>
                <w:iCs/>
                <w:sz w:val="22"/>
              </w:rPr>
              <w:t>Journal of Fish Biology</w:t>
            </w:r>
            <w:r w:rsidRPr="00143CB6">
              <w:rPr>
                <w:rFonts w:asciiTheme="minorHAnsi" w:hAnsiTheme="minorHAnsi" w:cstheme="minorHAnsi"/>
                <w:sz w:val="22"/>
              </w:rPr>
              <w:t xml:space="preserve">, </w:t>
            </w:r>
            <w:r w:rsidRPr="00143CB6">
              <w:rPr>
                <w:rFonts w:asciiTheme="minorHAnsi" w:hAnsiTheme="minorHAnsi" w:cstheme="minorHAnsi"/>
                <w:i/>
                <w:iCs/>
                <w:sz w:val="22"/>
              </w:rPr>
              <w:t>68</w:t>
            </w:r>
            <w:r w:rsidRPr="00143CB6">
              <w:rPr>
                <w:rFonts w:asciiTheme="minorHAnsi" w:hAnsiTheme="minorHAnsi" w:cstheme="minorHAnsi"/>
                <w:sz w:val="22"/>
              </w:rPr>
              <w:t>(6), 1713</w:t>
            </w:r>
            <w:r w:rsidRPr="00143CB6">
              <w:rPr>
                <w:rFonts w:ascii="Cambria Math" w:hAnsi="Cambria Math" w:cs="Cambria Math"/>
                <w:sz w:val="22"/>
              </w:rPr>
              <w:t>‑</w:t>
            </w:r>
            <w:r w:rsidRPr="00143CB6">
              <w:rPr>
                <w:rFonts w:asciiTheme="minorHAnsi" w:hAnsiTheme="minorHAnsi" w:cstheme="minorHAnsi"/>
                <w:sz w:val="22"/>
              </w:rPr>
              <w:t>1730. https://doi.org/10.1111/j.0022-1112.2006.01017.x</w:t>
            </w:r>
          </w:p>
          <w:p w14:paraId="1726E8DE"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Rikardsen, A. H., Righton, D., Strøm, J. F., Thorstad, E. B., Gargan, P., Sheehan, T., Økland, F., Chittenden, C. M., Hedger, R. D., Næsje, T. F., Renkawitz, M., Sturlaugsson, J., Caballero, P., Baktoft, H., Davidsen, J. G., Halttunen, E., Wright, S., Finstad, B., &amp; Aarestrup, K. (2021). Redefining the oceanic distribution of Atlantic salmon. </w:t>
            </w:r>
            <w:r w:rsidRPr="00143CB6">
              <w:rPr>
                <w:rFonts w:asciiTheme="minorHAnsi" w:hAnsiTheme="minorHAnsi" w:cstheme="minorHAnsi"/>
                <w:i/>
                <w:iCs/>
                <w:sz w:val="22"/>
              </w:rPr>
              <w:t>Scientific Reports</w:t>
            </w:r>
            <w:r w:rsidRPr="00143CB6">
              <w:rPr>
                <w:rFonts w:asciiTheme="minorHAnsi" w:hAnsiTheme="minorHAnsi" w:cstheme="minorHAnsi"/>
                <w:sz w:val="22"/>
              </w:rPr>
              <w:t xml:space="preserve">, </w:t>
            </w:r>
            <w:r w:rsidRPr="00143CB6">
              <w:rPr>
                <w:rFonts w:asciiTheme="minorHAnsi" w:hAnsiTheme="minorHAnsi" w:cstheme="minorHAnsi"/>
                <w:i/>
                <w:iCs/>
                <w:sz w:val="22"/>
              </w:rPr>
              <w:t>11</w:t>
            </w:r>
            <w:r w:rsidRPr="00143CB6">
              <w:rPr>
                <w:rFonts w:asciiTheme="minorHAnsi" w:hAnsiTheme="minorHAnsi" w:cstheme="minorHAnsi"/>
                <w:sz w:val="22"/>
              </w:rPr>
              <w:t>(1), 12266. https://doi.org/10.1038/s41598-021-91137-y</w:t>
            </w:r>
          </w:p>
          <w:p w14:paraId="4AC0466B"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Sandlund, O. T., Berntsen, H. H., Fiske, P., Kuusela, J., Muladal, R., Niemelä, E., Uglem, I., Forseth, T., Mo, T. A., Thorstad, E. B., Veselov, A. E., Vollset, K. W., &amp; Zubchenko, A. V. (2019). Pink salmon in Norway : The reluctant invader. </w:t>
            </w:r>
            <w:r w:rsidRPr="00143CB6">
              <w:rPr>
                <w:rFonts w:asciiTheme="minorHAnsi" w:hAnsiTheme="minorHAnsi" w:cstheme="minorHAnsi"/>
                <w:i/>
                <w:iCs/>
                <w:sz w:val="22"/>
              </w:rPr>
              <w:t>Biological Invasions</w:t>
            </w:r>
            <w:r w:rsidRPr="00143CB6">
              <w:rPr>
                <w:rFonts w:asciiTheme="minorHAnsi" w:hAnsiTheme="minorHAnsi" w:cstheme="minorHAnsi"/>
                <w:sz w:val="22"/>
              </w:rPr>
              <w:t xml:space="preserve">, </w:t>
            </w:r>
            <w:r w:rsidRPr="00143CB6">
              <w:rPr>
                <w:rFonts w:asciiTheme="minorHAnsi" w:hAnsiTheme="minorHAnsi" w:cstheme="minorHAnsi"/>
                <w:i/>
                <w:iCs/>
                <w:sz w:val="22"/>
              </w:rPr>
              <w:t>21</w:t>
            </w:r>
            <w:r w:rsidRPr="00143CB6">
              <w:rPr>
                <w:rFonts w:asciiTheme="minorHAnsi" w:hAnsiTheme="minorHAnsi" w:cstheme="minorHAnsi"/>
                <w:sz w:val="22"/>
              </w:rPr>
              <w:t>(4), 1033</w:t>
            </w:r>
            <w:r w:rsidRPr="00143CB6">
              <w:rPr>
                <w:rFonts w:ascii="Cambria Math" w:hAnsi="Cambria Math" w:cs="Cambria Math"/>
                <w:sz w:val="22"/>
              </w:rPr>
              <w:t>‑</w:t>
            </w:r>
            <w:r w:rsidRPr="00143CB6">
              <w:rPr>
                <w:rFonts w:asciiTheme="minorHAnsi" w:hAnsiTheme="minorHAnsi" w:cstheme="minorHAnsi"/>
                <w:sz w:val="22"/>
              </w:rPr>
              <w:t>1054. https://doi.org/10.1007/s10530-018-1904-z</w:t>
            </w:r>
          </w:p>
          <w:p w14:paraId="4D5A526F"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Saura, M., Morán, P., Brotherstone, S., Caballero, A., Álvarez, J., &amp; Villanueva, B. (2010). Predictions of response to selection caused by angling in a wild population of Atlantic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w:t>
            </w:r>
            <w:r w:rsidRPr="00143CB6">
              <w:rPr>
                <w:rFonts w:asciiTheme="minorHAnsi" w:hAnsiTheme="minorHAnsi" w:cstheme="minorHAnsi"/>
                <w:i/>
                <w:iCs/>
                <w:sz w:val="22"/>
              </w:rPr>
              <w:t>Freshwater Biology</w:t>
            </w:r>
            <w:r w:rsidRPr="00143CB6">
              <w:rPr>
                <w:rFonts w:asciiTheme="minorHAnsi" w:hAnsiTheme="minorHAnsi" w:cstheme="minorHAnsi"/>
                <w:sz w:val="22"/>
              </w:rPr>
              <w:t xml:space="preserve">, </w:t>
            </w:r>
            <w:r w:rsidRPr="00143CB6">
              <w:rPr>
                <w:rFonts w:asciiTheme="minorHAnsi" w:hAnsiTheme="minorHAnsi" w:cstheme="minorHAnsi"/>
                <w:i/>
                <w:iCs/>
                <w:sz w:val="22"/>
              </w:rPr>
              <w:t>55</w:t>
            </w:r>
            <w:r w:rsidRPr="00143CB6">
              <w:rPr>
                <w:rFonts w:asciiTheme="minorHAnsi" w:hAnsiTheme="minorHAnsi" w:cstheme="minorHAnsi"/>
                <w:sz w:val="22"/>
              </w:rPr>
              <w:t>(4), 923</w:t>
            </w:r>
            <w:r w:rsidRPr="00143CB6">
              <w:rPr>
                <w:rFonts w:ascii="Cambria Math" w:hAnsi="Cambria Math" w:cs="Cambria Math"/>
                <w:sz w:val="22"/>
              </w:rPr>
              <w:t>‑</w:t>
            </w:r>
            <w:r w:rsidRPr="00143CB6">
              <w:rPr>
                <w:rFonts w:asciiTheme="minorHAnsi" w:hAnsiTheme="minorHAnsi" w:cstheme="minorHAnsi"/>
                <w:sz w:val="22"/>
              </w:rPr>
              <w:t>930. https://doi.org/10.1111/j.1365-2427.2009.02346.x</w:t>
            </w:r>
          </w:p>
          <w:p w14:paraId="1D1944D1"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Thorstad, E. B., Bliss, D., Breau, C., Damon-Randall, K., Sundt-Hansen, L. E., Hatfield, E. M. C., Horsburgh, G., Hansen, H., Maoiléidigh, N. Ó., Sheehan, T., &amp; Sutton, S. G. (2021). Atlantic salmon in a rapidly changing environment—Facing the challenges of reduced marine survival and climate change. </w:t>
            </w:r>
            <w:r w:rsidRPr="00143CB6">
              <w:rPr>
                <w:rFonts w:asciiTheme="minorHAnsi" w:hAnsiTheme="minorHAnsi" w:cstheme="minorHAnsi"/>
                <w:i/>
                <w:iCs/>
                <w:sz w:val="22"/>
              </w:rPr>
              <w:t>Aquatic Conservation: Marine and Freshwater Ecosystems</w:t>
            </w:r>
            <w:r w:rsidRPr="00143CB6">
              <w:rPr>
                <w:rFonts w:asciiTheme="minorHAnsi" w:hAnsiTheme="minorHAnsi" w:cstheme="minorHAnsi"/>
                <w:sz w:val="22"/>
              </w:rPr>
              <w:t xml:space="preserve">, </w:t>
            </w:r>
            <w:r w:rsidRPr="00143CB6">
              <w:rPr>
                <w:rFonts w:asciiTheme="minorHAnsi" w:hAnsiTheme="minorHAnsi" w:cstheme="minorHAnsi"/>
                <w:i/>
                <w:iCs/>
                <w:sz w:val="22"/>
              </w:rPr>
              <w:t>31</w:t>
            </w:r>
            <w:r w:rsidRPr="00143CB6">
              <w:rPr>
                <w:rFonts w:asciiTheme="minorHAnsi" w:hAnsiTheme="minorHAnsi" w:cstheme="minorHAnsi"/>
                <w:sz w:val="22"/>
              </w:rPr>
              <w:t>(9), 2654</w:t>
            </w:r>
            <w:r w:rsidRPr="00143CB6">
              <w:rPr>
                <w:rFonts w:ascii="Cambria Math" w:hAnsi="Cambria Math" w:cs="Cambria Math"/>
                <w:sz w:val="22"/>
              </w:rPr>
              <w:t>‑</w:t>
            </w:r>
            <w:r w:rsidRPr="00143CB6">
              <w:rPr>
                <w:rFonts w:asciiTheme="minorHAnsi" w:hAnsiTheme="minorHAnsi" w:cstheme="minorHAnsi"/>
                <w:sz w:val="22"/>
              </w:rPr>
              <w:t>2665. https://doi.org/10.1002/aqc.3624</w:t>
            </w:r>
          </w:p>
          <w:p w14:paraId="6D71CD41"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Todd, C. D., Hanson, N. N., Boehme, L., Revie, C. W., &amp; Marques, A. R. (2021). Variation in the post-smolt growth pattern of wild one sea-winter salmon (</w:t>
            </w:r>
            <w:r w:rsidRPr="00143CB6">
              <w:rPr>
                <w:rFonts w:asciiTheme="minorHAnsi" w:hAnsiTheme="minorHAnsi" w:cstheme="minorHAnsi"/>
                <w:i/>
                <w:sz w:val="22"/>
              </w:rPr>
              <w:t>Salmo salar</w:t>
            </w:r>
            <w:r w:rsidRPr="00143CB6">
              <w:rPr>
                <w:rFonts w:asciiTheme="minorHAnsi" w:hAnsiTheme="minorHAnsi" w:cstheme="minorHAnsi"/>
                <w:sz w:val="22"/>
              </w:rPr>
              <w:t xml:space="preserve"> L.), and its linkage to surface warming in the eastern North Atlantic Ocean. </w:t>
            </w:r>
            <w:r w:rsidRPr="00143CB6">
              <w:rPr>
                <w:rFonts w:asciiTheme="minorHAnsi" w:hAnsiTheme="minorHAnsi" w:cstheme="minorHAnsi"/>
                <w:i/>
                <w:iCs/>
                <w:sz w:val="22"/>
              </w:rPr>
              <w:t>Journal of Fish Biology</w:t>
            </w:r>
            <w:r w:rsidRPr="00143CB6">
              <w:rPr>
                <w:rFonts w:asciiTheme="minorHAnsi" w:hAnsiTheme="minorHAnsi" w:cstheme="minorHAnsi"/>
                <w:sz w:val="22"/>
              </w:rPr>
              <w:t xml:space="preserve">, </w:t>
            </w:r>
            <w:r w:rsidRPr="00143CB6">
              <w:rPr>
                <w:rFonts w:asciiTheme="minorHAnsi" w:hAnsiTheme="minorHAnsi" w:cstheme="minorHAnsi"/>
                <w:i/>
                <w:iCs/>
                <w:sz w:val="22"/>
              </w:rPr>
              <w:t>98</w:t>
            </w:r>
            <w:r w:rsidRPr="00143CB6">
              <w:rPr>
                <w:rFonts w:asciiTheme="minorHAnsi" w:hAnsiTheme="minorHAnsi" w:cstheme="minorHAnsi"/>
                <w:sz w:val="22"/>
              </w:rPr>
              <w:t>(1), 6</w:t>
            </w:r>
            <w:r w:rsidRPr="00143CB6">
              <w:rPr>
                <w:rFonts w:ascii="Cambria Math" w:hAnsi="Cambria Math" w:cs="Cambria Math"/>
                <w:sz w:val="22"/>
              </w:rPr>
              <w:t>‑</w:t>
            </w:r>
            <w:r w:rsidRPr="00143CB6">
              <w:rPr>
                <w:rFonts w:asciiTheme="minorHAnsi" w:hAnsiTheme="minorHAnsi" w:cstheme="minorHAnsi"/>
                <w:sz w:val="22"/>
              </w:rPr>
              <w:t>16. https://doi.org/10.1111/jfb.14552</w:t>
            </w:r>
          </w:p>
          <w:p w14:paraId="41DC33D2" w14:textId="77777777" w:rsidR="0031651C" w:rsidRPr="00143CB6" w:rsidRDefault="0031651C" w:rsidP="00437F65">
            <w:pPr>
              <w:pStyle w:val="Bibliography"/>
              <w:spacing w:line="240" w:lineRule="auto"/>
              <w:ind w:left="720" w:hanging="720"/>
              <w:rPr>
                <w:rFonts w:asciiTheme="minorHAnsi" w:hAnsiTheme="minorHAnsi" w:cstheme="minorHAnsi"/>
                <w:sz w:val="22"/>
              </w:rPr>
            </w:pPr>
            <w:r w:rsidRPr="00143CB6">
              <w:rPr>
                <w:rFonts w:asciiTheme="minorHAnsi" w:hAnsiTheme="minorHAnsi" w:cstheme="minorHAnsi"/>
                <w:sz w:val="22"/>
              </w:rPr>
              <w:t xml:space="preserve">Verspoor, E., Stradmeyer, L., &amp; Nielsen, J. L. (Éds.). (2007). </w:t>
            </w:r>
            <w:r w:rsidRPr="00355875">
              <w:rPr>
                <w:rFonts w:asciiTheme="minorHAnsi" w:hAnsiTheme="minorHAnsi" w:cstheme="minorHAnsi"/>
                <w:sz w:val="22"/>
              </w:rPr>
              <w:t>The atlantic salmon : Genetics, conservation and management.</w:t>
            </w:r>
            <w:r w:rsidRPr="00143CB6">
              <w:rPr>
                <w:rFonts w:asciiTheme="minorHAnsi" w:hAnsiTheme="minorHAnsi" w:cstheme="minorHAnsi"/>
                <w:sz w:val="22"/>
              </w:rPr>
              <w:t xml:space="preserve"> Blackwell Publishing Ltd.; USGS Publications Warehouse. https://doi.org/10.1002/9780470995846</w:t>
            </w:r>
          </w:p>
          <w:p w14:paraId="37BCC6D9" w14:textId="77777777" w:rsidR="0031651C" w:rsidRPr="00143CB6" w:rsidRDefault="0031651C" w:rsidP="00437F65">
            <w:pPr>
              <w:ind w:left="720" w:hanging="720"/>
              <w:rPr>
                <w:rFonts w:asciiTheme="minorHAnsi" w:hAnsiTheme="minorHAnsi" w:cstheme="minorHAnsi"/>
                <w:sz w:val="22"/>
                <w:szCs w:val="22"/>
                <w:highlight w:val="yellow"/>
                <w:lang w:val="en-GB"/>
              </w:rPr>
            </w:pPr>
            <w:r w:rsidRPr="00143CB6">
              <w:rPr>
                <w:rFonts w:asciiTheme="minorHAnsi" w:hAnsiTheme="minorHAnsi" w:cstheme="minorHAnsi"/>
                <w:sz w:val="22"/>
                <w:szCs w:val="22"/>
                <w:highlight w:val="yellow"/>
                <w:lang w:val="en-GB"/>
              </w:rPr>
              <w:fldChar w:fldCharType="end"/>
            </w:r>
          </w:p>
        </w:tc>
      </w:tr>
      <w:tr w:rsidR="0031651C" w:rsidRPr="00143CB6" w14:paraId="06A3307A" w14:textId="77777777" w:rsidTr="10215BEE">
        <w:trPr>
          <w:trHeight w:val="4740"/>
        </w:trPr>
        <w:tc>
          <w:tcPr>
            <w:tcW w:w="2451" w:type="dxa"/>
          </w:tcPr>
          <w:p w14:paraId="0EEA7777" w14:textId="1B958B0D" w:rsidR="0031651C" w:rsidRPr="001B0DCF" w:rsidRDefault="001B0DCF" w:rsidP="00437F65">
            <w:pPr>
              <w:spacing w:after="120"/>
              <w:jc w:val="both"/>
              <w:rPr>
                <w:rFonts w:asciiTheme="minorHAnsi" w:hAnsiTheme="minorHAnsi" w:cstheme="minorHAnsi"/>
                <w:sz w:val="22"/>
                <w:szCs w:val="22"/>
                <w:lang w:val="en-GB"/>
              </w:rPr>
            </w:pPr>
            <w:r w:rsidRPr="001B0DCF">
              <w:rPr>
                <w:rFonts w:asciiTheme="minorHAnsi" w:hAnsiTheme="minorHAnsi" w:cstheme="minorHAnsi"/>
                <w:sz w:val="22"/>
                <w:szCs w:val="22"/>
                <w:lang w:val="en-GB"/>
              </w:rPr>
              <w:t>M</w:t>
            </w:r>
            <w:r w:rsidR="0031651C" w:rsidRPr="001B0DCF">
              <w:rPr>
                <w:rFonts w:asciiTheme="minorHAnsi" w:hAnsiTheme="minorHAnsi" w:cstheme="minorHAnsi"/>
                <w:sz w:val="22"/>
                <w:szCs w:val="22"/>
                <w:lang w:val="en-GB"/>
              </w:rPr>
              <w:t>ethod used</w:t>
            </w:r>
          </w:p>
        </w:tc>
        <w:tc>
          <w:tcPr>
            <w:tcW w:w="7370" w:type="dxa"/>
          </w:tcPr>
          <w:p w14:paraId="53F5CFC5" w14:textId="77777777" w:rsidR="0031651C" w:rsidRPr="00143CB6" w:rsidRDefault="0031651C" w:rsidP="00437F65">
            <w:pPr>
              <w:spacing w:after="120"/>
              <w:jc w:val="both"/>
              <w:rPr>
                <w:rFonts w:asciiTheme="minorHAnsi" w:hAnsiTheme="minorHAnsi" w:cstheme="minorHAnsi"/>
                <w:b/>
                <w:i/>
                <w:iCs/>
                <w:sz w:val="22"/>
                <w:szCs w:val="22"/>
                <w:lang w:val="en-GB"/>
              </w:rPr>
            </w:pPr>
            <w:r w:rsidRPr="00143CB6">
              <w:rPr>
                <w:rFonts w:asciiTheme="minorHAnsi" w:hAnsiTheme="minorHAnsi" w:cstheme="minorHAnsi"/>
                <w:b/>
                <w:i/>
                <w:iCs/>
                <w:sz w:val="22"/>
                <w:szCs w:val="22"/>
                <w:lang w:val="en-GB"/>
              </w:rPr>
              <w:t>Main source of information:</w:t>
            </w:r>
          </w:p>
          <w:p w14:paraId="1830939B" w14:textId="77777777" w:rsidR="0031651C" w:rsidRPr="00143CB6" w:rsidRDefault="0031651C" w:rsidP="0031651C">
            <w:pPr>
              <w:pStyle w:val="ListParagraph"/>
              <w:numPr>
                <w:ilvl w:val="0"/>
                <w:numId w:val="41"/>
              </w:numPr>
              <w:spacing w:after="120"/>
              <w:ind w:right="411"/>
              <w:rPr>
                <w:rFonts w:asciiTheme="minorHAnsi" w:hAnsiTheme="minorHAnsi" w:cstheme="minorHAnsi"/>
                <w:iCs/>
                <w:color w:val="000000" w:themeColor="text1"/>
                <w:szCs w:val="22"/>
              </w:rPr>
            </w:pPr>
            <w:r w:rsidRPr="00143CB6">
              <w:rPr>
                <w:rFonts w:asciiTheme="minorHAnsi" w:hAnsiTheme="minorHAnsi" w:cstheme="minorHAnsi"/>
                <w:iCs/>
                <w:color w:val="000000" w:themeColor="text1"/>
                <w:szCs w:val="22"/>
              </w:rPr>
              <w:t xml:space="preserve">Assessment lead was coordinated by France, namely J. Raitif (UMS OFB-CNRS-MNHN PatriNat) and A. Acou (UMS OFB-CNRS-MNHN PatriNat / Management of Diadromous Fish in their Environment OFB-INRAE-Institut Agro-UPPA, France). </w:t>
            </w:r>
          </w:p>
          <w:p w14:paraId="1A9B6F63" w14:textId="77777777" w:rsidR="0031651C" w:rsidRPr="00143CB6" w:rsidRDefault="0031651C" w:rsidP="0031651C">
            <w:pPr>
              <w:pStyle w:val="ListParagraph"/>
              <w:numPr>
                <w:ilvl w:val="0"/>
                <w:numId w:val="41"/>
              </w:numPr>
              <w:spacing w:after="120"/>
              <w:ind w:right="411"/>
              <w:rPr>
                <w:rFonts w:asciiTheme="minorHAnsi" w:hAnsiTheme="minorHAnsi" w:cstheme="minorHAnsi"/>
                <w:color w:val="000000" w:themeColor="text1"/>
                <w:szCs w:val="22"/>
              </w:rPr>
            </w:pPr>
            <w:r w:rsidRPr="00143CB6">
              <w:rPr>
                <w:rFonts w:asciiTheme="minorHAnsi" w:hAnsiTheme="minorHAnsi" w:cstheme="minorHAnsi"/>
                <w:color w:val="000000" w:themeColor="text1"/>
                <w:szCs w:val="22"/>
              </w:rPr>
              <w:t>Two online meetings (23</w:t>
            </w:r>
            <w:r w:rsidRPr="00143CB6">
              <w:rPr>
                <w:rFonts w:asciiTheme="minorHAnsi" w:hAnsiTheme="minorHAnsi" w:cstheme="minorHAnsi"/>
                <w:color w:val="000000" w:themeColor="text1"/>
                <w:szCs w:val="22"/>
                <w:vertAlign w:val="superscript"/>
              </w:rPr>
              <w:t>th</w:t>
            </w:r>
            <w:r w:rsidRPr="00143CB6">
              <w:rPr>
                <w:rFonts w:asciiTheme="minorHAnsi" w:hAnsiTheme="minorHAnsi" w:cstheme="minorHAnsi"/>
                <w:color w:val="000000" w:themeColor="text1"/>
                <w:szCs w:val="22"/>
              </w:rPr>
              <w:t xml:space="preserve"> of June and 23</w:t>
            </w:r>
            <w:r w:rsidRPr="00143CB6">
              <w:rPr>
                <w:rFonts w:asciiTheme="minorHAnsi" w:hAnsiTheme="minorHAnsi" w:cstheme="minorHAnsi"/>
                <w:color w:val="000000" w:themeColor="text1"/>
                <w:szCs w:val="22"/>
                <w:vertAlign w:val="superscript"/>
              </w:rPr>
              <w:t>th</w:t>
            </w:r>
            <w:r w:rsidRPr="00143CB6">
              <w:rPr>
                <w:rFonts w:asciiTheme="minorHAnsi" w:hAnsiTheme="minorHAnsi" w:cstheme="minorHAnsi"/>
                <w:color w:val="000000" w:themeColor="text1"/>
                <w:szCs w:val="22"/>
              </w:rPr>
              <w:t xml:space="preserve"> of September 2021) and emailing were needed with national experts in order to complete data gathering, validate the methodology for assessment and review the final draft assessment. </w:t>
            </w:r>
          </w:p>
          <w:p w14:paraId="580CE6C8" w14:textId="77777777" w:rsidR="0031651C" w:rsidRPr="00143CB6" w:rsidRDefault="0031651C" w:rsidP="0031651C">
            <w:pPr>
              <w:pStyle w:val="ListParagraph"/>
              <w:numPr>
                <w:ilvl w:val="0"/>
                <w:numId w:val="41"/>
              </w:numPr>
              <w:spacing w:after="120"/>
              <w:ind w:right="411"/>
              <w:rPr>
                <w:rFonts w:asciiTheme="minorHAnsi" w:hAnsiTheme="minorHAnsi" w:cstheme="minorHAnsi"/>
                <w:iCs/>
                <w:color w:val="000000" w:themeColor="text1"/>
                <w:szCs w:val="22"/>
              </w:rPr>
            </w:pPr>
            <w:r w:rsidRPr="00143CB6">
              <w:rPr>
                <w:rFonts w:asciiTheme="minorHAnsi" w:hAnsiTheme="minorHAnsi" w:cstheme="minorHAnsi"/>
                <w:iCs/>
                <w:color w:val="000000" w:themeColor="text1"/>
                <w:szCs w:val="22"/>
              </w:rPr>
              <w:t>Experts involved in the assessment were:</w:t>
            </w:r>
          </w:p>
          <w:p w14:paraId="01FE5AE1" w14:textId="77777777" w:rsidR="0031651C" w:rsidRPr="00FD00FA" w:rsidRDefault="0031651C" w:rsidP="00437F65">
            <w:pPr>
              <w:pStyle w:val="ListParagraph"/>
              <w:spacing w:after="120"/>
              <w:ind w:right="408"/>
              <w:rPr>
                <w:rFonts w:asciiTheme="minorHAnsi" w:hAnsiTheme="minorHAnsi" w:cstheme="minorHAnsi"/>
                <w:bCs/>
                <w:iCs/>
                <w:color w:val="000000" w:themeColor="text1"/>
                <w:szCs w:val="22"/>
              </w:rPr>
            </w:pPr>
            <w:r w:rsidRPr="00FD00FA">
              <w:rPr>
                <w:rFonts w:asciiTheme="minorHAnsi" w:hAnsiTheme="minorHAnsi" w:cstheme="minorHAnsi"/>
                <w:bCs/>
                <w:iCs/>
                <w:color w:val="000000" w:themeColor="text1"/>
                <w:szCs w:val="22"/>
              </w:rPr>
              <w:t>Norway: P. Fiske</w:t>
            </w:r>
          </w:p>
          <w:p w14:paraId="15F12383" w14:textId="77777777" w:rsidR="0031651C" w:rsidRPr="00FD00FA" w:rsidRDefault="0031651C" w:rsidP="00437F65">
            <w:pPr>
              <w:pStyle w:val="ListParagraph"/>
              <w:spacing w:after="120"/>
              <w:ind w:right="408"/>
              <w:rPr>
                <w:rFonts w:asciiTheme="minorHAnsi" w:hAnsiTheme="minorHAnsi" w:cstheme="minorHAnsi"/>
                <w:bCs/>
                <w:iCs/>
                <w:color w:val="000000" w:themeColor="text1"/>
                <w:szCs w:val="22"/>
              </w:rPr>
            </w:pPr>
            <w:r w:rsidRPr="00FD00FA">
              <w:rPr>
                <w:rFonts w:asciiTheme="minorHAnsi" w:hAnsiTheme="minorHAnsi" w:cstheme="minorHAnsi"/>
                <w:bCs/>
                <w:iCs/>
                <w:color w:val="000000" w:themeColor="text1"/>
                <w:szCs w:val="22"/>
              </w:rPr>
              <w:t>Sweden: I. A. Bergendahl</w:t>
            </w:r>
          </w:p>
          <w:p w14:paraId="5EEC0DCA" w14:textId="77777777" w:rsidR="0031651C" w:rsidRPr="00FD00FA" w:rsidRDefault="0031651C" w:rsidP="00437F65">
            <w:pPr>
              <w:pStyle w:val="ListParagraph"/>
              <w:spacing w:after="120"/>
              <w:ind w:right="408"/>
              <w:rPr>
                <w:rFonts w:asciiTheme="minorHAnsi" w:hAnsiTheme="minorHAnsi" w:cstheme="minorHAnsi"/>
                <w:bCs/>
                <w:iCs/>
                <w:color w:val="000000" w:themeColor="text1"/>
                <w:szCs w:val="22"/>
              </w:rPr>
            </w:pPr>
            <w:r w:rsidRPr="00FD00FA">
              <w:rPr>
                <w:rFonts w:asciiTheme="minorHAnsi" w:hAnsiTheme="minorHAnsi" w:cstheme="minorHAnsi"/>
                <w:bCs/>
                <w:iCs/>
                <w:color w:val="000000" w:themeColor="text1"/>
                <w:szCs w:val="22"/>
              </w:rPr>
              <w:t>Denmark: N. Jepsen</w:t>
            </w:r>
          </w:p>
          <w:p w14:paraId="20D9EDE1" w14:textId="77777777" w:rsidR="0031651C" w:rsidRPr="00FD00FA" w:rsidRDefault="0031651C" w:rsidP="00437F65">
            <w:pPr>
              <w:pStyle w:val="ListParagraph"/>
              <w:spacing w:after="120"/>
              <w:ind w:right="408"/>
              <w:rPr>
                <w:rFonts w:asciiTheme="minorHAnsi" w:hAnsiTheme="minorHAnsi" w:cstheme="minorHAnsi"/>
                <w:bCs/>
                <w:color w:val="000000" w:themeColor="text1"/>
                <w:szCs w:val="22"/>
              </w:rPr>
            </w:pPr>
            <w:r w:rsidRPr="00FD00FA">
              <w:rPr>
                <w:rFonts w:asciiTheme="minorHAnsi" w:hAnsiTheme="minorHAnsi" w:cstheme="minorHAnsi"/>
                <w:bCs/>
                <w:color w:val="000000" w:themeColor="text1"/>
                <w:szCs w:val="22"/>
              </w:rPr>
              <w:t xml:space="preserve">United Kingdom: D. Ensing </w:t>
            </w:r>
            <w:r w:rsidRPr="00FD00FA">
              <w:rPr>
                <w:rFonts w:asciiTheme="minorHAnsi" w:eastAsia="Calibri" w:hAnsiTheme="minorHAnsi" w:cstheme="minorHAnsi"/>
                <w:bCs/>
                <w:color w:val="000000" w:themeColor="text1"/>
                <w:szCs w:val="22"/>
              </w:rPr>
              <w:t xml:space="preserve">(ICES WGNAS Chairman), </w:t>
            </w:r>
            <w:r w:rsidRPr="00FD00FA">
              <w:rPr>
                <w:rFonts w:asciiTheme="minorHAnsi" w:hAnsiTheme="minorHAnsi" w:cstheme="minorHAnsi"/>
                <w:bCs/>
                <w:color w:val="000000" w:themeColor="text1"/>
                <w:szCs w:val="22"/>
              </w:rPr>
              <w:t xml:space="preserve">A. Walker, I. Davidson, J. Gillson, L. Talks, S. Walton, N. Hanson, C. Bean, </w:t>
            </w:r>
          </w:p>
          <w:p w14:paraId="63878F00" w14:textId="77777777" w:rsidR="0031651C" w:rsidRPr="00FD00FA" w:rsidRDefault="0031651C" w:rsidP="00437F65">
            <w:pPr>
              <w:pStyle w:val="ListParagraph"/>
              <w:spacing w:after="120"/>
              <w:ind w:right="408"/>
              <w:rPr>
                <w:rFonts w:asciiTheme="minorHAnsi" w:hAnsiTheme="minorHAnsi" w:cstheme="minorHAnsi"/>
                <w:bCs/>
                <w:iCs/>
                <w:color w:val="000000" w:themeColor="text1"/>
                <w:szCs w:val="22"/>
              </w:rPr>
            </w:pPr>
            <w:r w:rsidRPr="00FD00FA">
              <w:rPr>
                <w:rFonts w:asciiTheme="minorHAnsi" w:hAnsiTheme="minorHAnsi" w:cstheme="minorHAnsi"/>
                <w:bCs/>
                <w:iCs/>
                <w:color w:val="000000" w:themeColor="text1"/>
                <w:szCs w:val="22"/>
              </w:rPr>
              <w:t>France: L. Beaulaton</w:t>
            </w:r>
          </w:p>
          <w:p w14:paraId="6285F107" w14:textId="77777777" w:rsidR="0031651C" w:rsidRPr="00FD00FA" w:rsidRDefault="0031651C" w:rsidP="00437F65">
            <w:pPr>
              <w:pStyle w:val="ListParagraph"/>
              <w:spacing w:after="120"/>
              <w:ind w:right="408"/>
              <w:rPr>
                <w:rFonts w:asciiTheme="minorHAnsi" w:hAnsiTheme="minorHAnsi" w:cstheme="minorHAnsi"/>
                <w:bCs/>
                <w:iCs/>
                <w:color w:val="000000" w:themeColor="text1"/>
                <w:szCs w:val="22"/>
              </w:rPr>
            </w:pPr>
            <w:r w:rsidRPr="00FD00FA">
              <w:rPr>
                <w:rFonts w:asciiTheme="minorHAnsi" w:hAnsiTheme="minorHAnsi" w:cstheme="minorHAnsi"/>
                <w:bCs/>
                <w:iCs/>
                <w:color w:val="000000" w:themeColor="text1"/>
                <w:szCs w:val="22"/>
              </w:rPr>
              <w:t>Portugal: P.R. Almeida, C. Mateus, S. Silva, C. Alexandre</w:t>
            </w:r>
          </w:p>
          <w:p w14:paraId="477C8750" w14:textId="77777777" w:rsidR="0031651C" w:rsidRPr="00FD00FA" w:rsidRDefault="0031651C" w:rsidP="00437F65">
            <w:pPr>
              <w:pStyle w:val="ListParagraph"/>
              <w:spacing w:after="120"/>
              <w:ind w:right="408"/>
              <w:rPr>
                <w:rFonts w:asciiTheme="minorHAnsi" w:hAnsiTheme="minorHAnsi" w:cstheme="minorHAnsi"/>
                <w:bCs/>
                <w:color w:val="000000" w:themeColor="text1"/>
                <w:szCs w:val="22"/>
              </w:rPr>
            </w:pPr>
            <w:r w:rsidRPr="00FD00FA">
              <w:rPr>
                <w:rFonts w:asciiTheme="minorHAnsi" w:hAnsiTheme="minorHAnsi" w:cstheme="minorHAnsi"/>
                <w:bCs/>
                <w:color w:val="000000" w:themeColor="text1"/>
                <w:szCs w:val="22"/>
              </w:rPr>
              <w:t>NASCO secretariat: E. Hatfield</w:t>
            </w:r>
          </w:p>
          <w:p w14:paraId="0F5FE5E0" w14:textId="77777777" w:rsidR="0031651C" w:rsidRPr="00143CB6" w:rsidRDefault="0031651C" w:rsidP="00437F65">
            <w:pPr>
              <w:pStyle w:val="ListParagraph"/>
              <w:spacing w:after="120"/>
              <w:ind w:right="408"/>
              <w:rPr>
                <w:rFonts w:asciiTheme="minorHAnsi" w:hAnsiTheme="minorHAnsi" w:cstheme="minorHAnsi"/>
                <w:iCs/>
                <w:color w:val="000000" w:themeColor="text1"/>
                <w:szCs w:val="22"/>
              </w:rPr>
            </w:pPr>
          </w:p>
          <w:p w14:paraId="6D0285BC" w14:textId="77777777" w:rsidR="0031651C" w:rsidRPr="00143CB6" w:rsidRDefault="0031651C" w:rsidP="00437F65">
            <w:pPr>
              <w:spacing w:after="120"/>
              <w:ind w:right="411"/>
              <w:jc w:val="both"/>
              <w:rPr>
                <w:rFonts w:asciiTheme="minorHAnsi" w:hAnsiTheme="minorHAnsi" w:cstheme="minorHAnsi"/>
                <w:b/>
                <w:iCs/>
                <w:color w:val="000000" w:themeColor="text1"/>
                <w:sz w:val="22"/>
                <w:szCs w:val="22"/>
                <w:lang w:val="en-GB"/>
              </w:rPr>
            </w:pPr>
            <w:r w:rsidRPr="00143CB6">
              <w:rPr>
                <w:rFonts w:asciiTheme="minorHAnsi" w:hAnsiTheme="minorHAnsi" w:cstheme="minorHAnsi"/>
                <w:b/>
                <w:iCs/>
                <w:color w:val="000000" w:themeColor="text1"/>
                <w:sz w:val="22"/>
                <w:szCs w:val="22"/>
                <w:lang w:val="en-GB"/>
              </w:rPr>
              <w:t>Assessment is based upon:</w:t>
            </w:r>
          </w:p>
          <w:p w14:paraId="14D16274" w14:textId="77777777" w:rsidR="0031651C" w:rsidRPr="00143CB6" w:rsidRDefault="0031651C" w:rsidP="0031651C">
            <w:pPr>
              <w:numPr>
                <w:ilvl w:val="0"/>
                <w:numId w:val="27"/>
              </w:numPr>
              <w:spacing w:after="120" w:line="259" w:lineRule="auto"/>
              <w:ind w:right="411"/>
              <w:contextualSpacing/>
              <w:jc w:val="both"/>
              <w:rPr>
                <w:rFonts w:asciiTheme="minorHAnsi" w:hAnsiTheme="minorHAnsi" w:cstheme="minorHAnsi"/>
                <w:iCs/>
                <w:color w:val="000000" w:themeColor="text1"/>
                <w:sz w:val="22"/>
                <w:szCs w:val="22"/>
                <w:lang w:val="en-GB"/>
              </w:rPr>
            </w:pPr>
            <w:r w:rsidRPr="00143CB6">
              <w:rPr>
                <w:rFonts w:asciiTheme="minorHAnsi" w:hAnsiTheme="minorHAnsi" w:cstheme="minorHAnsi"/>
                <w:iCs/>
                <w:color w:val="000000" w:themeColor="text1"/>
                <w:sz w:val="22"/>
                <w:szCs w:val="22"/>
                <w:lang w:val="en-GB"/>
              </w:rPr>
              <w:t>Third party assessment (ICES WGNAS principally)</w:t>
            </w:r>
          </w:p>
          <w:p w14:paraId="3FBAB802" w14:textId="77777777" w:rsidR="0031651C" w:rsidRPr="00143CB6" w:rsidRDefault="0031651C" w:rsidP="0031651C">
            <w:pPr>
              <w:numPr>
                <w:ilvl w:val="0"/>
                <w:numId w:val="27"/>
              </w:numPr>
              <w:spacing w:after="120" w:line="259" w:lineRule="auto"/>
              <w:ind w:right="411"/>
              <w:contextualSpacing/>
              <w:jc w:val="both"/>
              <w:rPr>
                <w:rFonts w:asciiTheme="minorHAnsi" w:hAnsiTheme="minorHAnsi" w:cstheme="minorHAnsi"/>
                <w:iCs/>
                <w:color w:val="000000" w:themeColor="text1"/>
                <w:sz w:val="22"/>
                <w:szCs w:val="22"/>
                <w:lang w:val="en-GB"/>
              </w:rPr>
            </w:pPr>
            <w:r w:rsidRPr="00143CB6">
              <w:rPr>
                <w:rFonts w:asciiTheme="minorHAnsi" w:hAnsiTheme="minorHAnsi" w:cstheme="minorHAnsi"/>
                <w:iCs/>
                <w:color w:val="000000" w:themeColor="text1"/>
                <w:sz w:val="22"/>
                <w:szCs w:val="22"/>
                <w:lang w:val="en-GB"/>
              </w:rPr>
              <w:t>Literature studies</w:t>
            </w:r>
          </w:p>
          <w:p w14:paraId="79320395" w14:textId="77777777" w:rsidR="0031651C" w:rsidRPr="00143CB6" w:rsidRDefault="0031651C" w:rsidP="0031651C">
            <w:pPr>
              <w:numPr>
                <w:ilvl w:val="0"/>
                <w:numId w:val="27"/>
              </w:numPr>
              <w:spacing w:after="120" w:line="259" w:lineRule="auto"/>
              <w:ind w:right="411"/>
              <w:contextualSpacing/>
              <w:jc w:val="both"/>
              <w:rPr>
                <w:rFonts w:asciiTheme="minorHAnsi" w:hAnsiTheme="minorHAnsi" w:cstheme="minorHAnsi"/>
                <w:iCs/>
                <w:color w:val="000000" w:themeColor="text1"/>
                <w:sz w:val="22"/>
                <w:szCs w:val="22"/>
                <w:lang w:val="en-GB"/>
              </w:rPr>
            </w:pPr>
            <w:r w:rsidRPr="00143CB6">
              <w:rPr>
                <w:rFonts w:asciiTheme="minorHAnsi" w:hAnsiTheme="minorHAnsi" w:cstheme="minorHAnsi"/>
                <w:iCs/>
                <w:color w:val="000000" w:themeColor="text1"/>
                <w:sz w:val="22"/>
                <w:szCs w:val="22"/>
                <w:lang w:val="en-GB"/>
              </w:rPr>
              <w:t xml:space="preserve">Direct or indirect data </w:t>
            </w:r>
          </w:p>
          <w:p w14:paraId="0EC069B0" w14:textId="77777777" w:rsidR="0031651C" w:rsidRPr="00143CB6" w:rsidRDefault="0031651C" w:rsidP="0031651C">
            <w:pPr>
              <w:numPr>
                <w:ilvl w:val="0"/>
                <w:numId w:val="27"/>
              </w:numPr>
              <w:spacing w:after="120" w:line="259" w:lineRule="auto"/>
              <w:contextualSpacing/>
              <w:jc w:val="both"/>
              <w:rPr>
                <w:rFonts w:asciiTheme="minorHAnsi" w:hAnsiTheme="minorHAnsi" w:cstheme="minorHAnsi"/>
                <w:i/>
                <w:iCs/>
                <w:sz w:val="22"/>
                <w:szCs w:val="22"/>
                <w:lang w:val="en-GB"/>
              </w:rPr>
            </w:pPr>
            <w:r w:rsidRPr="00143CB6">
              <w:rPr>
                <w:rFonts w:asciiTheme="minorHAnsi" w:hAnsiTheme="minorHAnsi" w:cstheme="minorHAnsi"/>
                <w:iCs/>
                <w:color w:val="000000" w:themeColor="text1"/>
                <w:sz w:val="22"/>
                <w:szCs w:val="22"/>
                <w:lang w:val="en-GB"/>
              </w:rPr>
              <w:t>Expert opinion of national experts</w:t>
            </w:r>
          </w:p>
        </w:tc>
      </w:tr>
      <w:tr w:rsidR="0031651C" w:rsidRPr="00143CB6" w14:paraId="1534F02E" w14:textId="77777777" w:rsidTr="10215BEE">
        <w:trPr>
          <w:trHeight w:val="1108"/>
        </w:trPr>
        <w:tc>
          <w:tcPr>
            <w:tcW w:w="2451" w:type="dxa"/>
          </w:tcPr>
          <w:p w14:paraId="3D8759E3" w14:textId="77777777" w:rsidR="0031651C" w:rsidRPr="00143CB6" w:rsidRDefault="0031651C" w:rsidP="00437F65">
            <w:pPr>
              <w:spacing w:after="120"/>
              <w:jc w:val="both"/>
              <w:rPr>
                <w:rFonts w:asciiTheme="minorHAnsi" w:hAnsiTheme="minorHAnsi" w:cstheme="minorHAnsi"/>
                <w:sz w:val="22"/>
                <w:szCs w:val="22"/>
                <w:lang w:val="en-GB"/>
              </w:rPr>
            </w:pPr>
          </w:p>
        </w:tc>
        <w:tc>
          <w:tcPr>
            <w:tcW w:w="7370" w:type="dxa"/>
          </w:tcPr>
          <w:p w14:paraId="0C9041B2" w14:textId="77777777" w:rsidR="0031651C" w:rsidRPr="00143CB6" w:rsidRDefault="0031651C" w:rsidP="00437F65">
            <w:pPr>
              <w:spacing w:after="120"/>
              <w:jc w:val="both"/>
              <w:rPr>
                <w:rFonts w:asciiTheme="minorHAnsi" w:hAnsiTheme="minorHAnsi" w:cstheme="minorHAnsi"/>
                <w:sz w:val="22"/>
                <w:szCs w:val="22"/>
                <w:lang w:val="en-GB"/>
              </w:rPr>
            </w:pPr>
          </w:p>
        </w:tc>
      </w:tr>
      <w:tr w:rsidR="0031651C" w:rsidRPr="00143CB6" w14:paraId="60B10D0A" w14:textId="77777777" w:rsidTr="10215BEE">
        <w:tc>
          <w:tcPr>
            <w:tcW w:w="2451" w:type="dxa"/>
            <w:hideMark/>
          </w:tcPr>
          <w:p w14:paraId="2AEED620" w14:textId="77777777" w:rsidR="0031651C" w:rsidRPr="00143CB6" w:rsidRDefault="0031651C" w:rsidP="00437F65">
            <w:pPr>
              <w:spacing w:after="120" w:line="259" w:lineRule="auto"/>
              <w:jc w:val="center"/>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AUDIT TRAIL</w:t>
            </w:r>
          </w:p>
          <w:p w14:paraId="2799530E" w14:textId="77777777" w:rsidR="0031651C" w:rsidRPr="00143CB6" w:rsidRDefault="0031651C" w:rsidP="00437F65">
            <w:pPr>
              <w:spacing w:after="120" w:line="259" w:lineRule="auto"/>
              <w:jc w:val="center"/>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 xml:space="preserve">Optional. </w:t>
            </w:r>
          </w:p>
          <w:p w14:paraId="40141A3A" w14:textId="77777777" w:rsidR="0031651C" w:rsidRPr="00143CB6" w:rsidRDefault="0031651C" w:rsidP="00437F65">
            <w:pPr>
              <w:spacing w:after="120" w:line="259" w:lineRule="auto"/>
              <w:jc w:val="center"/>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No word limit</w:t>
            </w:r>
          </w:p>
          <w:p w14:paraId="5E3EEA40" w14:textId="77777777" w:rsidR="0031651C" w:rsidRPr="00143CB6" w:rsidRDefault="0031651C" w:rsidP="00437F65">
            <w:pPr>
              <w:spacing w:after="120" w:line="259" w:lineRule="auto"/>
              <w:jc w:val="center"/>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Archived</w:t>
            </w:r>
          </w:p>
        </w:tc>
        <w:tc>
          <w:tcPr>
            <w:tcW w:w="7370" w:type="dxa"/>
          </w:tcPr>
          <w:p w14:paraId="2EAD8885" w14:textId="77777777" w:rsidR="0031651C" w:rsidRPr="00143CB6" w:rsidRDefault="0031651C" w:rsidP="00437F65">
            <w:pPr>
              <w:spacing w:after="120" w:line="259" w:lineRule="auto"/>
              <w:jc w:val="center"/>
              <w:rPr>
                <w:rFonts w:asciiTheme="minorHAnsi" w:hAnsiTheme="minorHAnsi" w:cstheme="minorHAnsi"/>
                <w:b/>
                <w:bCs/>
                <w:sz w:val="22"/>
                <w:szCs w:val="22"/>
                <w:lang w:val="en-GB"/>
              </w:rPr>
            </w:pPr>
            <w:r w:rsidRPr="00143CB6">
              <w:rPr>
                <w:rFonts w:asciiTheme="minorHAnsi" w:hAnsiTheme="minorHAnsi" w:cstheme="minorHAnsi"/>
                <w:b/>
                <w:bCs/>
                <w:sz w:val="22"/>
                <w:szCs w:val="22"/>
                <w:lang w:val="en-GB"/>
              </w:rPr>
              <w:t xml:space="preserve">Additional Evidence and Information </w:t>
            </w:r>
          </w:p>
          <w:p w14:paraId="525B260A" w14:textId="77777777" w:rsidR="0031651C" w:rsidRPr="00143CB6" w:rsidRDefault="0031651C" w:rsidP="00437F65">
            <w:pPr>
              <w:spacing w:after="120" w:line="259" w:lineRule="auto"/>
              <w:jc w:val="center"/>
              <w:rPr>
                <w:rFonts w:asciiTheme="minorHAnsi" w:hAnsiTheme="minorHAnsi" w:cstheme="minorHAnsi"/>
                <w:sz w:val="22"/>
                <w:szCs w:val="22"/>
                <w:lang w:val="en-GB"/>
              </w:rPr>
            </w:pPr>
            <w:r w:rsidRPr="00143CB6">
              <w:rPr>
                <w:rFonts w:asciiTheme="minorHAnsi" w:hAnsiTheme="minorHAnsi" w:cstheme="minorHAnsi"/>
                <w:sz w:val="22"/>
                <w:szCs w:val="22"/>
                <w:lang w:val="en-GB"/>
              </w:rPr>
              <w:t>Please insert below any relevant additional evidence and information that provides essential background and rationale to the assessments above. Include citations of the sources of evidence and information and provide full references in the relevant section below</w:t>
            </w:r>
          </w:p>
          <w:p w14:paraId="0DCF31AA" w14:textId="77777777" w:rsidR="0031651C" w:rsidRPr="00143CB6" w:rsidRDefault="0031651C" w:rsidP="00437F65">
            <w:pPr>
              <w:spacing w:after="120" w:line="259" w:lineRule="auto"/>
              <w:jc w:val="center"/>
              <w:rPr>
                <w:rFonts w:asciiTheme="minorHAnsi" w:hAnsiTheme="minorHAnsi" w:cstheme="minorHAnsi"/>
                <w:sz w:val="22"/>
                <w:szCs w:val="22"/>
                <w:lang w:val="en-GB"/>
              </w:rPr>
            </w:pPr>
            <w:r w:rsidRPr="00143CB6">
              <w:rPr>
                <w:rFonts w:asciiTheme="minorHAnsi" w:hAnsiTheme="minorHAnsi" w:cstheme="minorHAnsi"/>
                <w:sz w:val="22"/>
                <w:szCs w:val="22"/>
                <w:lang w:val="en-GB"/>
              </w:rPr>
              <w:t>The audit trail is not published as part of the assessment. It is archived for future reference purposes. The assessment in the rows above needs to be written so that it can be read without accessing information in the audit trail.</w:t>
            </w:r>
          </w:p>
        </w:tc>
      </w:tr>
      <w:tr w:rsidR="0031651C" w:rsidRPr="00143CB6" w14:paraId="3DD3DB94" w14:textId="77777777" w:rsidTr="10215BEE">
        <w:tc>
          <w:tcPr>
            <w:tcW w:w="2451" w:type="dxa"/>
            <w:hideMark/>
          </w:tcPr>
          <w:p w14:paraId="034E2103"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Assessment methods</w:t>
            </w:r>
          </w:p>
          <w:p w14:paraId="6755248A"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(additional information, in particular how the overall assessment in the summary table was reached)</w:t>
            </w:r>
          </w:p>
        </w:tc>
        <w:tc>
          <w:tcPr>
            <w:tcW w:w="7370" w:type="dxa"/>
          </w:tcPr>
          <w:p w14:paraId="4867A1AB"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As mentioned earlier, there are many populations of Atlantic salmon across OSPAR regions and many experience various trends during the last decade. To assess trend at the level of OSPAR region the size of stock population was thus notably taken into account :</w:t>
            </w:r>
          </w:p>
          <w:p w14:paraId="4AB1FE4E" w14:textId="77777777" w:rsidR="0031651C" w:rsidRPr="00143CB6" w:rsidRDefault="0031651C" w:rsidP="0031651C">
            <w:pPr>
              <w:pStyle w:val="ListParagraph"/>
              <w:numPr>
                <w:ilvl w:val="0"/>
                <w:numId w:val="38"/>
              </w:numPr>
              <w:spacing w:after="120" w:line="259" w:lineRule="auto"/>
              <w:rPr>
                <w:rFonts w:asciiTheme="minorHAnsi" w:hAnsiTheme="minorHAnsi" w:cstheme="minorHAnsi"/>
                <w:szCs w:val="22"/>
              </w:rPr>
            </w:pPr>
            <w:r w:rsidRPr="00143CB6">
              <w:rPr>
                <w:rFonts w:asciiTheme="minorHAnsi" w:hAnsiTheme="minorHAnsi" w:cstheme="minorHAnsi"/>
                <w:szCs w:val="22"/>
              </w:rPr>
              <w:t>OSPAR I : Norway stock is the biggest stock</w:t>
            </w:r>
          </w:p>
          <w:p w14:paraId="2975C05E" w14:textId="77777777" w:rsidR="0031651C" w:rsidRPr="00143CB6" w:rsidRDefault="0031651C" w:rsidP="0031651C">
            <w:pPr>
              <w:pStyle w:val="ListParagraph"/>
              <w:numPr>
                <w:ilvl w:val="0"/>
                <w:numId w:val="38"/>
              </w:numPr>
              <w:spacing w:after="120" w:line="259" w:lineRule="auto"/>
              <w:rPr>
                <w:rFonts w:asciiTheme="minorHAnsi" w:hAnsiTheme="minorHAnsi" w:cstheme="minorHAnsi"/>
                <w:szCs w:val="22"/>
              </w:rPr>
            </w:pPr>
            <w:r w:rsidRPr="00143CB6">
              <w:rPr>
                <w:rFonts w:asciiTheme="minorHAnsi" w:hAnsiTheme="minorHAnsi" w:cstheme="minorHAnsi"/>
                <w:szCs w:val="22"/>
              </w:rPr>
              <w:t>OSPAR II : Norway and Scotland stocks are predominant</w:t>
            </w:r>
          </w:p>
          <w:p w14:paraId="25619B4F" w14:textId="77777777" w:rsidR="0031651C" w:rsidRPr="00143CB6" w:rsidRDefault="0031651C" w:rsidP="0031651C">
            <w:pPr>
              <w:pStyle w:val="ListParagraph"/>
              <w:numPr>
                <w:ilvl w:val="0"/>
                <w:numId w:val="38"/>
              </w:numPr>
              <w:spacing w:after="120" w:line="259" w:lineRule="auto"/>
              <w:rPr>
                <w:rFonts w:asciiTheme="minorHAnsi" w:hAnsiTheme="minorHAnsi" w:cstheme="minorHAnsi"/>
                <w:szCs w:val="22"/>
              </w:rPr>
            </w:pPr>
            <w:r w:rsidRPr="00143CB6">
              <w:rPr>
                <w:rFonts w:asciiTheme="minorHAnsi" w:hAnsiTheme="minorHAnsi" w:cstheme="minorHAnsi"/>
                <w:szCs w:val="22"/>
              </w:rPr>
              <w:t>OSPAR III : Irish stock is the biggest stock</w:t>
            </w:r>
          </w:p>
          <w:p w14:paraId="2C8FF247" w14:textId="77777777" w:rsidR="0031651C" w:rsidRPr="00143CB6" w:rsidRDefault="0031651C" w:rsidP="0031651C">
            <w:pPr>
              <w:pStyle w:val="ListParagraph"/>
              <w:numPr>
                <w:ilvl w:val="0"/>
                <w:numId w:val="38"/>
              </w:numPr>
              <w:spacing w:after="120" w:line="259" w:lineRule="auto"/>
              <w:rPr>
                <w:rFonts w:asciiTheme="minorHAnsi" w:hAnsiTheme="minorHAnsi" w:cstheme="minorHAnsi"/>
                <w:szCs w:val="22"/>
              </w:rPr>
            </w:pPr>
            <w:r w:rsidRPr="00143CB6">
              <w:rPr>
                <w:rFonts w:asciiTheme="minorHAnsi" w:hAnsiTheme="minorHAnsi" w:cstheme="minorHAnsi"/>
                <w:szCs w:val="22"/>
              </w:rPr>
              <w:t>OSPAR IV : French stock is the biggest stock</w:t>
            </w:r>
          </w:p>
          <w:p w14:paraId="294E59B2"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The nature of the population, </w:t>
            </w:r>
            <w:r w:rsidRPr="00143CB6">
              <w:rPr>
                <w:rFonts w:asciiTheme="minorHAnsi" w:hAnsiTheme="minorHAnsi" w:cstheme="minorHAnsi"/>
                <w:i/>
                <w:sz w:val="22"/>
                <w:szCs w:val="22"/>
                <w:lang w:val="en-GB"/>
              </w:rPr>
              <w:t>i.e.</w:t>
            </w:r>
            <w:r w:rsidRPr="00143CB6">
              <w:rPr>
                <w:rFonts w:asciiTheme="minorHAnsi" w:hAnsiTheme="minorHAnsi" w:cstheme="minorHAnsi"/>
                <w:sz w:val="22"/>
                <w:szCs w:val="22"/>
                <w:lang w:val="en-GB"/>
              </w:rPr>
              <w:t xml:space="preserve"> wild vs restocked, was also taken into account when possible.</w:t>
            </w:r>
          </w:p>
        </w:tc>
      </w:tr>
      <w:tr w:rsidR="0031651C" w:rsidRPr="00143CB6" w14:paraId="096C9D53" w14:textId="77777777" w:rsidTr="10215BEE">
        <w:tc>
          <w:tcPr>
            <w:tcW w:w="2451" w:type="dxa"/>
            <w:hideMark/>
          </w:tcPr>
          <w:p w14:paraId="039B9569"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Geographical range and distribution (additional evidence &amp; information)</w:t>
            </w:r>
          </w:p>
        </w:tc>
        <w:tc>
          <w:tcPr>
            <w:tcW w:w="7370" w:type="dxa"/>
          </w:tcPr>
          <w:p w14:paraId="02BF8C0E" w14:textId="77777777" w:rsidR="0031651C" w:rsidRPr="00143CB6" w:rsidRDefault="0031651C" w:rsidP="00437F65">
            <w:pPr>
              <w:spacing w:after="120" w:line="259" w:lineRule="auto"/>
              <w:jc w:val="both"/>
              <w:rPr>
                <w:rFonts w:asciiTheme="minorHAnsi" w:hAnsiTheme="minorHAnsi" w:cstheme="minorHAnsi"/>
                <w:sz w:val="22"/>
                <w:szCs w:val="22"/>
                <w:lang w:val="en-GB"/>
              </w:rPr>
            </w:pPr>
          </w:p>
        </w:tc>
      </w:tr>
      <w:tr w:rsidR="0031651C" w:rsidRPr="00143CB6" w14:paraId="32463621" w14:textId="77777777" w:rsidTr="10215BEE">
        <w:tc>
          <w:tcPr>
            <w:tcW w:w="2451" w:type="dxa"/>
            <w:hideMark/>
          </w:tcPr>
          <w:p w14:paraId="26DC4163"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Population/abundance (species)</w:t>
            </w:r>
          </w:p>
          <w:p w14:paraId="6AC54154"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(additional evidence &amp; information)</w:t>
            </w:r>
          </w:p>
        </w:tc>
        <w:tc>
          <w:tcPr>
            <w:tcW w:w="7370" w:type="dxa"/>
          </w:tcPr>
          <w:p w14:paraId="2C682452" w14:textId="77777777" w:rsidR="0031651C" w:rsidRPr="00143CB6" w:rsidRDefault="0031651C" w:rsidP="00437F65">
            <w:pPr>
              <w:rPr>
                <w:rFonts w:asciiTheme="minorHAnsi" w:hAnsiTheme="minorHAnsi" w:cstheme="minorHAnsi"/>
                <w:sz w:val="22"/>
                <w:szCs w:val="22"/>
                <w:lang w:val="en-GB"/>
              </w:rPr>
            </w:pPr>
            <w:r w:rsidRPr="00143CB6">
              <w:rPr>
                <w:rFonts w:asciiTheme="minorHAnsi" w:hAnsiTheme="minorHAnsi" w:cstheme="minorHAnsi"/>
                <w:sz w:val="22"/>
                <w:szCs w:val="22"/>
                <w:lang w:val="en-GB"/>
              </w:rPr>
              <w:t>Many proxies of abundances of Atlantic salmon in the OSPAR regions exist. Some are river or stock specific (</w:t>
            </w:r>
            <w:r w:rsidRPr="00143CB6">
              <w:rPr>
                <w:rFonts w:asciiTheme="minorHAnsi" w:hAnsiTheme="minorHAnsi" w:cstheme="minorHAnsi"/>
                <w:i/>
                <w:iCs/>
                <w:sz w:val="22"/>
                <w:szCs w:val="22"/>
                <w:lang w:val="en-GB"/>
              </w:rPr>
              <w:t>e.g.</w:t>
            </w:r>
            <w:r w:rsidRPr="00143CB6">
              <w:rPr>
                <w:rFonts w:asciiTheme="minorHAnsi" w:hAnsiTheme="minorHAnsi" w:cstheme="minorHAnsi"/>
                <w:sz w:val="22"/>
                <w:szCs w:val="22"/>
                <w:lang w:val="en-GB"/>
              </w:rPr>
              <w:t xml:space="preserve"> number of spawners) while estimates of pre-fishery abundance (PFA) are typically for nations or larger regions. PFA, as estimated by the ICES WGNAS, is common to all countries, whereas river-specific measures can be derived from different methods. National PFA (ICES, 2012) were thus used as proxies of abundance in OSPAR regions.</w:t>
            </w:r>
          </w:p>
        </w:tc>
      </w:tr>
      <w:tr w:rsidR="0031651C" w:rsidRPr="00143CB6" w14:paraId="4418ACC2" w14:textId="77777777" w:rsidTr="10215BEE">
        <w:tc>
          <w:tcPr>
            <w:tcW w:w="2451" w:type="dxa"/>
            <w:hideMark/>
          </w:tcPr>
          <w:p w14:paraId="4A976FBF"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Condition </w:t>
            </w:r>
          </w:p>
          <w:p w14:paraId="2EA6D179"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(additional evidence &amp; information)</w:t>
            </w:r>
          </w:p>
        </w:tc>
        <w:tc>
          <w:tcPr>
            <w:tcW w:w="7370" w:type="dxa"/>
          </w:tcPr>
          <w:p w14:paraId="50BED5B0" w14:textId="77777777" w:rsidR="0031651C" w:rsidRPr="00143CB6" w:rsidRDefault="0031651C" w:rsidP="00437F65">
            <w:pPr>
              <w:spacing w:after="120" w:line="259" w:lineRule="auto"/>
              <w:jc w:val="both"/>
              <w:rPr>
                <w:rFonts w:asciiTheme="minorHAnsi" w:hAnsiTheme="minorHAnsi" w:cstheme="minorHAnsi"/>
                <w:sz w:val="22"/>
                <w:szCs w:val="22"/>
                <w:lang w:val="en-GB"/>
              </w:rPr>
            </w:pPr>
          </w:p>
        </w:tc>
      </w:tr>
      <w:tr w:rsidR="0031651C" w:rsidRPr="00143CB6" w14:paraId="39DAB030" w14:textId="77777777" w:rsidTr="10215BEE">
        <w:tc>
          <w:tcPr>
            <w:tcW w:w="2451" w:type="dxa"/>
            <w:hideMark/>
          </w:tcPr>
          <w:p w14:paraId="01A876EE"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Threats and impacts</w:t>
            </w:r>
          </w:p>
          <w:p w14:paraId="36E743E1"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(additional evidence &amp; information)</w:t>
            </w:r>
          </w:p>
        </w:tc>
        <w:tc>
          <w:tcPr>
            <w:tcW w:w="7370" w:type="dxa"/>
          </w:tcPr>
          <w:p w14:paraId="6123EA26" w14:textId="77777777" w:rsidR="0031651C" w:rsidRPr="00143CB6" w:rsidRDefault="0031651C" w:rsidP="00437F65">
            <w:pPr>
              <w:spacing w:after="120" w:line="259" w:lineRule="auto"/>
              <w:jc w:val="both"/>
              <w:rPr>
                <w:rFonts w:asciiTheme="minorHAnsi" w:eastAsia="Calibri" w:hAnsiTheme="minorHAnsi" w:cstheme="minorHAnsi"/>
                <w:sz w:val="22"/>
                <w:szCs w:val="22"/>
                <w:lang w:val="en-GB"/>
              </w:rPr>
            </w:pPr>
            <w:r w:rsidRPr="00143CB6">
              <w:rPr>
                <w:rFonts w:asciiTheme="minorHAnsi" w:eastAsia="Calibri" w:hAnsiTheme="minorHAnsi" w:cstheme="minorHAnsi"/>
                <w:sz w:val="22"/>
                <w:szCs w:val="22"/>
                <w:lang w:val="en-GB"/>
              </w:rPr>
              <w:t>The NASCO funded SMOLTRACK project has studied salmon smolt migration (river and coastal) in UK, Northern Ireland, Ireland, Spain, Sweden and Denmark and the studies have documented remarkable high rates of smolt-loss due to predation in the rivers and coast/estuaries. The rate of predation from protected species like cormorants, otters and heron was found to often exceed 50% and thus reducing the spawning run by 50%, which is a major population impact. The predation from a rapidly growing population of marine mammals should also be mentioned under threats, most documentation are from the Baltic, but there are studies from UK/Ireland that could be cited. Anyhow, the impact of predation should be considered as well-documented and potentially high enough to explain much of the general decrease in salmon populations and thus should be taken very seriously in the assessment of salmon-status.</w:t>
            </w:r>
          </w:p>
        </w:tc>
      </w:tr>
      <w:tr w:rsidR="0031651C" w:rsidRPr="00143CB6" w14:paraId="39832A83" w14:textId="77777777" w:rsidTr="10215BEE">
        <w:tc>
          <w:tcPr>
            <w:tcW w:w="2451" w:type="dxa"/>
            <w:hideMark/>
          </w:tcPr>
          <w:p w14:paraId="15A5E8FF"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Measures that address key pressures from human activities or conserve the species/habitat</w:t>
            </w:r>
          </w:p>
          <w:p w14:paraId="18E84406"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(additional information)</w:t>
            </w:r>
          </w:p>
        </w:tc>
        <w:tc>
          <w:tcPr>
            <w:tcW w:w="7370" w:type="dxa"/>
          </w:tcPr>
          <w:p w14:paraId="2186554D" w14:textId="77777777" w:rsidR="0031651C" w:rsidRPr="00143CB6" w:rsidRDefault="0031651C" w:rsidP="00437F65">
            <w:pPr>
              <w:spacing w:after="120" w:line="259" w:lineRule="auto"/>
              <w:jc w:val="both"/>
              <w:rPr>
                <w:rFonts w:asciiTheme="minorHAnsi" w:hAnsiTheme="minorHAnsi" w:cstheme="minorHAnsi"/>
                <w:sz w:val="22"/>
                <w:szCs w:val="22"/>
                <w:lang w:val="en-GB"/>
              </w:rPr>
            </w:pPr>
          </w:p>
        </w:tc>
      </w:tr>
      <w:tr w:rsidR="0031651C" w:rsidRPr="00143CB6" w14:paraId="754E1CA3" w14:textId="77777777" w:rsidTr="10215BEE">
        <w:tc>
          <w:tcPr>
            <w:tcW w:w="2451" w:type="dxa"/>
            <w:hideMark/>
          </w:tcPr>
          <w:p w14:paraId="7802BEA0"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Knowledge gaps (additional information)</w:t>
            </w:r>
          </w:p>
        </w:tc>
        <w:tc>
          <w:tcPr>
            <w:tcW w:w="7370" w:type="dxa"/>
          </w:tcPr>
          <w:p w14:paraId="1C57F491" w14:textId="77777777" w:rsidR="0031651C" w:rsidRPr="00143CB6" w:rsidRDefault="0031651C" w:rsidP="00437F65">
            <w:pPr>
              <w:spacing w:after="120" w:line="259" w:lineRule="auto"/>
              <w:jc w:val="both"/>
              <w:rPr>
                <w:rFonts w:asciiTheme="minorHAnsi" w:hAnsiTheme="minorHAnsi" w:cstheme="minorHAnsi"/>
                <w:sz w:val="22"/>
                <w:szCs w:val="22"/>
                <w:lang w:val="en-GB"/>
              </w:rPr>
            </w:pPr>
          </w:p>
        </w:tc>
      </w:tr>
      <w:tr w:rsidR="0031651C" w:rsidRPr="00143CB6" w14:paraId="27FE9E6B" w14:textId="77777777" w:rsidTr="10215BEE">
        <w:tc>
          <w:tcPr>
            <w:tcW w:w="2451" w:type="dxa"/>
            <w:hideMark/>
          </w:tcPr>
          <w:p w14:paraId="50ADA1BC" w14:textId="77777777" w:rsidR="0031651C" w:rsidRPr="00143CB6" w:rsidRDefault="0031651C" w:rsidP="00437F65">
            <w:pPr>
              <w:spacing w:after="120" w:line="259" w:lineRule="auto"/>
              <w:jc w:val="both"/>
              <w:rPr>
                <w:rFonts w:asciiTheme="minorHAnsi" w:hAnsiTheme="minorHAnsi" w:cstheme="minorHAnsi"/>
                <w:sz w:val="22"/>
                <w:szCs w:val="22"/>
                <w:lang w:val="en-GB"/>
              </w:rPr>
            </w:pPr>
            <w:r w:rsidRPr="00143CB6">
              <w:rPr>
                <w:rFonts w:asciiTheme="minorHAnsi" w:hAnsiTheme="minorHAnsi" w:cstheme="minorHAnsi"/>
                <w:sz w:val="22"/>
                <w:szCs w:val="22"/>
                <w:lang w:val="en-GB"/>
              </w:rPr>
              <w:t xml:space="preserve">References </w:t>
            </w:r>
          </w:p>
        </w:tc>
        <w:tc>
          <w:tcPr>
            <w:tcW w:w="7370" w:type="dxa"/>
          </w:tcPr>
          <w:p w14:paraId="30228157" w14:textId="77777777" w:rsidR="0031651C" w:rsidRPr="00143CB6" w:rsidRDefault="0031651C" w:rsidP="00437F65">
            <w:pPr>
              <w:spacing w:after="120" w:line="257" w:lineRule="auto"/>
              <w:jc w:val="both"/>
              <w:rPr>
                <w:rFonts w:asciiTheme="minorHAnsi" w:eastAsia="Arial" w:hAnsiTheme="minorHAnsi" w:cstheme="minorHAnsi"/>
                <w:color w:val="666666"/>
                <w:sz w:val="22"/>
                <w:szCs w:val="22"/>
                <w:lang w:val="en-GB"/>
              </w:rPr>
            </w:pPr>
            <w:r w:rsidRPr="00143CB6">
              <w:rPr>
                <w:rFonts w:asciiTheme="minorHAnsi" w:eastAsia="Arial" w:hAnsiTheme="minorHAnsi" w:cstheme="minorHAnsi"/>
                <w:color w:val="666666"/>
                <w:sz w:val="22"/>
                <w:szCs w:val="22"/>
                <w:lang w:val="en-GB"/>
              </w:rPr>
              <w:t xml:space="preserve">Flávio, H. D. M., Kennedy, R., Ensing, D., Jepsen, N., &amp; Aarestrup, K. (2020). Marine mortality in the river? Atlantic salmon smolts under high predation pressure in the last kilometres of a river monitored for stock assessment. </w:t>
            </w:r>
            <w:r w:rsidRPr="00143CB6">
              <w:rPr>
                <w:rFonts w:asciiTheme="minorHAnsi" w:eastAsia="Arial" w:hAnsiTheme="minorHAnsi" w:cstheme="minorHAnsi"/>
                <w:i/>
                <w:iCs/>
                <w:color w:val="666666"/>
                <w:sz w:val="22"/>
                <w:szCs w:val="22"/>
                <w:lang w:val="en-GB"/>
              </w:rPr>
              <w:t>Fisheries Management and Ecology</w:t>
            </w:r>
            <w:r w:rsidRPr="00143CB6">
              <w:rPr>
                <w:rFonts w:asciiTheme="minorHAnsi" w:eastAsia="Arial" w:hAnsiTheme="minorHAnsi" w:cstheme="minorHAnsi"/>
                <w:color w:val="666666"/>
                <w:sz w:val="22"/>
                <w:szCs w:val="22"/>
                <w:lang w:val="en-GB"/>
              </w:rPr>
              <w:t xml:space="preserve">, </w:t>
            </w:r>
            <w:r w:rsidRPr="00143CB6">
              <w:rPr>
                <w:rFonts w:asciiTheme="minorHAnsi" w:eastAsia="Arial" w:hAnsiTheme="minorHAnsi" w:cstheme="minorHAnsi"/>
                <w:i/>
                <w:iCs/>
                <w:color w:val="666666"/>
                <w:sz w:val="22"/>
                <w:szCs w:val="22"/>
                <w:lang w:val="en-GB"/>
              </w:rPr>
              <w:t>27</w:t>
            </w:r>
            <w:r w:rsidRPr="00143CB6">
              <w:rPr>
                <w:rFonts w:asciiTheme="minorHAnsi" w:eastAsia="Arial" w:hAnsiTheme="minorHAnsi" w:cstheme="minorHAnsi"/>
                <w:color w:val="666666"/>
                <w:sz w:val="22"/>
                <w:szCs w:val="22"/>
                <w:lang w:val="en-GB"/>
              </w:rPr>
              <w:t>(1), 92-101.</w:t>
            </w:r>
          </w:p>
          <w:p w14:paraId="36C8AA7E" w14:textId="77777777" w:rsidR="0031651C" w:rsidRPr="00143CB6" w:rsidRDefault="0031651C" w:rsidP="00437F65">
            <w:pPr>
              <w:spacing w:after="120" w:line="257" w:lineRule="auto"/>
              <w:jc w:val="both"/>
              <w:rPr>
                <w:rFonts w:asciiTheme="minorHAnsi" w:eastAsia="Arial" w:hAnsiTheme="minorHAnsi" w:cstheme="minorHAnsi"/>
                <w:color w:val="666666"/>
                <w:sz w:val="22"/>
                <w:szCs w:val="22"/>
                <w:lang w:val="en-GB"/>
              </w:rPr>
            </w:pPr>
            <w:r w:rsidRPr="00143CB6">
              <w:rPr>
                <w:rFonts w:asciiTheme="minorHAnsi" w:eastAsia="Arial" w:hAnsiTheme="minorHAnsi" w:cstheme="minorHAnsi"/>
                <w:color w:val="666666"/>
                <w:sz w:val="22"/>
                <w:szCs w:val="22"/>
                <w:lang w:val="en-GB"/>
              </w:rPr>
              <w:t>Källo, K., Baktoft, H., Jepsen, N., &amp; Aarestrup, K. (2020). Great cormorant (</w:t>
            </w:r>
            <w:r w:rsidRPr="00143CB6">
              <w:rPr>
                <w:rFonts w:asciiTheme="minorHAnsi" w:eastAsia="Arial" w:hAnsiTheme="minorHAnsi" w:cstheme="minorHAnsi"/>
                <w:i/>
                <w:iCs/>
                <w:color w:val="666666"/>
                <w:sz w:val="22"/>
                <w:szCs w:val="22"/>
                <w:lang w:val="en-GB"/>
              </w:rPr>
              <w:t>Phalacrocorax carbo sinensis</w:t>
            </w:r>
            <w:r w:rsidRPr="00143CB6">
              <w:rPr>
                <w:rFonts w:asciiTheme="minorHAnsi" w:eastAsia="Arial" w:hAnsiTheme="minorHAnsi" w:cstheme="minorHAnsi"/>
                <w:color w:val="666666"/>
                <w:sz w:val="22"/>
                <w:szCs w:val="22"/>
                <w:lang w:val="en-GB"/>
              </w:rPr>
              <w:t>) predation on juvenile down-migrating trout (</w:t>
            </w:r>
            <w:r w:rsidRPr="00143CB6">
              <w:rPr>
                <w:rFonts w:asciiTheme="minorHAnsi" w:eastAsia="Arial" w:hAnsiTheme="minorHAnsi" w:cstheme="minorHAnsi"/>
                <w:i/>
                <w:iCs/>
                <w:color w:val="666666"/>
                <w:sz w:val="22"/>
                <w:szCs w:val="22"/>
                <w:lang w:val="en-GB"/>
              </w:rPr>
              <w:t>Salmo trutta</w:t>
            </w:r>
            <w:r w:rsidRPr="00143CB6">
              <w:rPr>
                <w:rFonts w:asciiTheme="minorHAnsi" w:eastAsia="Arial" w:hAnsiTheme="minorHAnsi" w:cstheme="minorHAnsi"/>
                <w:color w:val="666666"/>
                <w:sz w:val="22"/>
                <w:szCs w:val="22"/>
                <w:lang w:val="en-GB"/>
              </w:rPr>
              <w:t xml:space="preserve">) in a lowland stream. </w:t>
            </w:r>
            <w:r w:rsidRPr="00143CB6">
              <w:rPr>
                <w:rFonts w:asciiTheme="minorHAnsi" w:eastAsia="Arial" w:hAnsiTheme="minorHAnsi" w:cstheme="minorHAnsi"/>
                <w:i/>
                <w:iCs/>
                <w:color w:val="666666"/>
                <w:sz w:val="22"/>
                <w:szCs w:val="22"/>
                <w:lang w:val="en-GB"/>
              </w:rPr>
              <w:t>ICES Journal of Marine Science</w:t>
            </w:r>
            <w:r w:rsidRPr="00143CB6">
              <w:rPr>
                <w:rFonts w:asciiTheme="minorHAnsi" w:eastAsia="Arial" w:hAnsiTheme="minorHAnsi" w:cstheme="minorHAnsi"/>
                <w:color w:val="666666"/>
                <w:sz w:val="22"/>
                <w:szCs w:val="22"/>
                <w:lang w:val="en-GB"/>
              </w:rPr>
              <w:t xml:space="preserve">, </w:t>
            </w:r>
            <w:r w:rsidRPr="00143CB6">
              <w:rPr>
                <w:rFonts w:asciiTheme="minorHAnsi" w:eastAsia="Arial" w:hAnsiTheme="minorHAnsi" w:cstheme="minorHAnsi"/>
                <w:i/>
                <w:iCs/>
                <w:color w:val="666666"/>
                <w:sz w:val="22"/>
                <w:szCs w:val="22"/>
                <w:lang w:val="en-GB"/>
              </w:rPr>
              <w:t>77</w:t>
            </w:r>
            <w:r w:rsidRPr="00143CB6">
              <w:rPr>
                <w:rFonts w:asciiTheme="minorHAnsi" w:eastAsia="Arial" w:hAnsiTheme="minorHAnsi" w:cstheme="minorHAnsi"/>
                <w:color w:val="666666"/>
                <w:sz w:val="22"/>
                <w:szCs w:val="22"/>
                <w:lang w:val="en-GB"/>
              </w:rPr>
              <w:t>(2), 721-729.</w:t>
            </w:r>
          </w:p>
          <w:p w14:paraId="4B416CFA" w14:textId="77777777" w:rsidR="0031651C" w:rsidRPr="00143CB6" w:rsidRDefault="0031651C" w:rsidP="00437F65">
            <w:pPr>
              <w:spacing w:after="120" w:line="259" w:lineRule="auto"/>
              <w:jc w:val="both"/>
              <w:rPr>
                <w:rFonts w:asciiTheme="minorHAnsi" w:eastAsia="Calibri" w:hAnsiTheme="minorHAnsi" w:cstheme="minorHAnsi"/>
                <w:color w:val="666666"/>
                <w:sz w:val="22"/>
                <w:szCs w:val="22"/>
                <w:lang w:val="en-GB"/>
              </w:rPr>
            </w:pPr>
            <w:r w:rsidRPr="00143CB6">
              <w:rPr>
                <w:rFonts w:asciiTheme="minorHAnsi" w:eastAsia="Arial" w:hAnsiTheme="minorHAnsi" w:cstheme="minorHAnsi"/>
                <w:color w:val="666666"/>
                <w:sz w:val="22"/>
                <w:szCs w:val="22"/>
                <w:lang w:val="en-GB"/>
              </w:rPr>
              <w:t xml:space="preserve">Flávio, H., Caballero, P., Jepsen, N., &amp; Aarestrup, K. (2021). Atlantic salmon living on the edge: Smolt behaviour and survival during seaward migration in River Minho. </w:t>
            </w:r>
            <w:r w:rsidRPr="00143CB6">
              <w:rPr>
                <w:rFonts w:asciiTheme="minorHAnsi" w:eastAsia="Arial" w:hAnsiTheme="minorHAnsi" w:cstheme="minorHAnsi"/>
                <w:i/>
                <w:iCs/>
                <w:color w:val="666666"/>
                <w:sz w:val="22"/>
                <w:szCs w:val="22"/>
                <w:lang w:val="en-GB"/>
              </w:rPr>
              <w:t>Ecology of Freshwater Fish</w:t>
            </w:r>
            <w:r w:rsidRPr="00143CB6">
              <w:rPr>
                <w:rFonts w:asciiTheme="minorHAnsi" w:eastAsia="Arial" w:hAnsiTheme="minorHAnsi" w:cstheme="minorHAnsi"/>
                <w:color w:val="666666"/>
                <w:sz w:val="22"/>
                <w:szCs w:val="22"/>
                <w:lang w:val="en-GB"/>
              </w:rPr>
              <w:t xml:space="preserve">, </w:t>
            </w:r>
            <w:r w:rsidRPr="00143CB6">
              <w:rPr>
                <w:rFonts w:asciiTheme="minorHAnsi" w:eastAsia="Arial" w:hAnsiTheme="minorHAnsi" w:cstheme="minorHAnsi"/>
                <w:i/>
                <w:iCs/>
                <w:color w:val="666666"/>
                <w:sz w:val="22"/>
                <w:szCs w:val="22"/>
                <w:lang w:val="en-GB"/>
              </w:rPr>
              <w:t>30</w:t>
            </w:r>
            <w:r w:rsidRPr="00143CB6">
              <w:rPr>
                <w:rFonts w:asciiTheme="minorHAnsi" w:eastAsia="Arial" w:hAnsiTheme="minorHAnsi" w:cstheme="minorHAnsi"/>
                <w:color w:val="666666"/>
                <w:sz w:val="22"/>
                <w:szCs w:val="22"/>
                <w:lang w:val="en-GB"/>
              </w:rPr>
              <w:t>(1), 61-72</w:t>
            </w:r>
          </w:p>
        </w:tc>
      </w:tr>
    </w:tbl>
    <w:p w14:paraId="0627B2FD" w14:textId="77777777" w:rsidR="003C6090" w:rsidRPr="00143CB6" w:rsidRDefault="003C6090" w:rsidP="00D57B44">
      <w:pPr>
        <w:pStyle w:val="Caption"/>
        <w:ind w:right="-1"/>
        <w:rPr>
          <w:rFonts w:eastAsia="Calibri" w:cstheme="minorHAnsi"/>
          <w:sz w:val="22"/>
          <w:szCs w:val="22"/>
          <w:lang w:val="en-GB"/>
        </w:rPr>
      </w:pPr>
    </w:p>
    <w:sectPr w:rsidR="003C6090" w:rsidRPr="00143CB6" w:rsidSect="002F20D2">
      <w:footerReference w:type="default" r:id="rId31"/>
      <w:pgSz w:w="11906" w:h="16838"/>
      <w:pgMar w:top="1134"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B5403" w14:textId="77777777" w:rsidR="00557D4E" w:rsidRDefault="00557D4E" w:rsidP="00FB113B">
      <w:r>
        <w:separator/>
      </w:r>
    </w:p>
  </w:endnote>
  <w:endnote w:type="continuationSeparator" w:id="0">
    <w:p w14:paraId="2D3D9E2F" w14:textId="77777777" w:rsidR="00557D4E" w:rsidRDefault="00557D4E" w:rsidP="00FB113B">
      <w:r>
        <w:continuationSeparator/>
      </w:r>
    </w:p>
  </w:endnote>
  <w:endnote w:type="continuationNotice" w:id="1">
    <w:p w14:paraId="47C201C7" w14:textId="77777777" w:rsidR="00557D4E" w:rsidRDefault="00557D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ヒラギノ角ゴ Pro W3">
    <w:charset w:val="80"/>
    <w:family w:val="auto"/>
    <w:pitch w:val="variable"/>
    <w:sig w:usb0="E00002FF" w:usb1="7AC7FFFF" w:usb2="00000012" w:usb3="00000000" w:csb0="0002000D"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633EC" w14:textId="77777777" w:rsidR="00F92ACE" w:rsidRDefault="00F92ACE" w:rsidP="007301B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DC2A2B3" w14:textId="77777777" w:rsidR="00F92ACE" w:rsidRDefault="00F92ACE" w:rsidP="007301BA">
    <w:pPr>
      <w:pStyle w:val="Footer"/>
    </w:pPr>
  </w:p>
  <w:p w14:paraId="3EE88F2F" w14:textId="77777777" w:rsidR="00F92ACE" w:rsidRDefault="00F92ACE" w:rsidP="007301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F92ACE" w:rsidRPr="00FC1B75" w14:paraId="39261472" w14:textId="77777777" w:rsidTr="007301BA">
      <w:trPr>
        <w:cantSplit/>
        <w:trHeight w:hRule="exact" w:val="284"/>
      </w:trPr>
      <w:tc>
        <w:tcPr>
          <w:tcW w:w="5000" w:type="pct"/>
          <w:gridSpan w:val="3"/>
          <w:tcBorders>
            <w:bottom w:val="single" w:sz="4" w:space="0" w:color="auto"/>
          </w:tcBorders>
        </w:tcPr>
        <w:p w14:paraId="2C22410B" w14:textId="77777777" w:rsidR="00F92ACE" w:rsidRPr="00FC1B75" w:rsidRDefault="00F92ACE" w:rsidP="007301BA">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26</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26</w:t>
          </w:r>
          <w:r w:rsidRPr="006D051B">
            <w:rPr>
              <w:rStyle w:val="PageNumber"/>
              <w:sz w:val="20"/>
            </w:rPr>
            <w:fldChar w:fldCharType="end"/>
          </w:r>
        </w:p>
      </w:tc>
    </w:tr>
    <w:tr w:rsidR="00F92ACE" w:rsidRPr="00BC637C" w14:paraId="4D6DBA15" w14:textId="77777777" w:rsidTr="007301BA">
      <w:trPr>
        <w:cantSplit/>
        <w:trHeight w:hRule="exact" w:val="284"/>
      </w:trPr>
      <w:tc>
        <w:tcPr>
          <w:tcW w:w="1699" w:type="pct"/>
          <w:tcBorders>
            <w:top w:val="single" w:sz="4" w:space="0" w:color="auto"/>
          </w:tcBorders>
        </w:tcPr>
        <w:p w14:paraId="04EB1DE7" w14:textId="77777777" w:rsidR="00F92ACE" w:rsidRPr="00FC1B75" w:rsidRDefault="00F92ACE" w:rsidP="007301BA">
          <w:pPr>
            <w:pStyle w:val="Footer"/>
            <w:rPr>
              <w:rFonts w:cs="Arial"/>
              <w:sz w:val="20"/>
            </w:rPr>
          </w:pPr>
          <w:r w:rsidRPr="00FC1B75">
            <w:rPr>
              <w:rFonts w:cs="Arial"/>
              <w:sz w:val="20"/>
            </w:rPr>
            <w:t>OSPAR Commission</w:t>
          </w:r>
        </w:p>
      </w:tc>
      <w:tc>
        <w:tcPr>
          <w:tcW w:w="1602" w:type="pct"/>
          <w:tcBorders>
            <w:top w:val="single" w:sz="4" w:space="0" w:color="auto"/>
          </w:tcBorders>
        </w:tcPr>
        <w:p w14:paraId="4AE6DB25" w14:textId="77777777" w:rsidR="00F92ACE" w:rsidRPr="00FC1B75" w:rsidRDefault="00F92ACE" w:rsidP="007301BA">
          <w:pPr>
            <w:tabs>
              <w:tab w:val="left" w:pos="272"/>
              <w:tab w:val="left" w:pos="1418"/>
              <w:tab w:val="center" w:pos="2281"/>
            </w:tabs>
            <w:ind w:left="-675"/>
            <w:jc w:val="center"/>
            <w:rPr>
              <w:sz w:val="20"/>
            </w:rPr>
          </w:pPr>
          <w:r w:rsidRPr="00FC1B75">
            <w:rPr>
              <w:sz w:val="20"/>
            </w:rPr>
            <w:tab/>
          </w:r>
        </w:p>
      </w:tc>
      <w:tc>
        <w:tcPr>
          <w:tcW w:w="1699" w:type="pct"/>
          <w:tcBorders>
            <w:top w:val="single" w:sz="4" w:space="0" w:color="auto"/>
          </w:tcBorders>
        </w:tcPr>
        <w:p w14:paraId="1571E513" w14:textId="77777777" w:rsidR="00F92ACE" w:rsidRPr="00BC637C" w:rsidRDefault="00F92ACE" w:rsidP="00A46B59">
          <w:pPr>
            <w:tabs>
              <w:tab w:val="left" w:pos="77"/>
              <w:tab w:val="left" w:pos="272"/>
              <w:tab w:val="left" w:pos="361"/>
            </w:tabs>
            <w:jc w:val="right"/>
            <w:rPr>
              <w:sz w:val="20"/>
            </w:rPr>
          </w:pPr>
          <w:r>
            <w:rPr>
              <w:sz w:val="20"/>
            </w:rPr>
            <w:t>A-BDC 20/05/07</w:t>
          </w:r>
        </w:p>
      </w:tc>
    </w:tr>
  </w:tbl>
  <w:p w14:paraId="0588899B" w14:textId="77777777" w:rsidR="00F92ACE" w:rsidRDefault="00F92ACE" w:rsidP="007301B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205" w:type="pct"/>
      <w:tblCellMar>
        <w:top w:w="57" w:type="dxa"/>
        <w:left w:w="0" w:type="dxa"/>
        <w:bottom w:w="57" w:type="dxa"/>
        <w:right w:w="0" w:type="dxa"/>
      </w:tblCellMar>
      <w:tblLook w:val="0000" w:firstRow="0" w:lastRow="0" w:firstColumn="0" w:lastColumn="0" w:noHBand="0" w:noVBand="0"/>
    </w:tblPr>
    <w:tblGrid>
      <w:gridCol w:w="1433"/>
      <w:gridCol w:w="1350"/>
      <w:gridCol w:w="7250"/>
    </w:tblGrid>
    <w:tr w:rsidR="00F92ACE" w:rsidRPr="00FC1B75" w14:paraId="4F18EDA7" w14:textId="77777777" w:rsidTr="00E35188">
      <w:trPr>
        <w:cantSplit/>
        <w:trHeight w:hRule="exact" w:val="284"/>
      </w:trPr>
      <w:tc>
        <w:tcPr>
          <w:tcW w:w="5000" w:type="pct"/>
          <w:gridSpan w:val="3"/>
          <w:tcBorders>
            <w:bottom w:val="single" w:sz="4" w:space="0" w:color="auto"/>
          </w:tcBorders>
        </w:tcPr>
        <w:p w14:paraId="271AED93" w14:textId="77777777" w:rsidR="00F92ACE" w:rsidRPr="00FC1B75" w:rsidRDefault="00F92ACE" w:rsidP="000C6D34">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sidR="0031651C">
            <w:rPr>
              <w:rStyle w:val="PageNumber"/>
              <w:noProof/>
              <w:sz w:val="20"/>
            </w:rPr>
            <w:fldChar w:fldCharType="begin"/>
          </w:r>
          <w:r w:rsidR="0031651C">
            <w:rPr>
              <w:rStyle w:val="PageNumber"/>
              <w:noProof/>
              <w:sz w:val="20"/>
            </w:rPr>
            <w:instrText xml:space="preserve"> DOCPROPERTY  Pages  \* MERGEFORMAT </w:instrText>
          </w:r>
          <w:r w:rsidR="0031651C">
            <w:rPr>
              <w:rStyle w:val="PageNumber"/>
              <w:noProof/>
              <w:sz w:val="20"/>
            </w:rPr>
            <w:fldChar w:fldCharType="separate"/>
          </w:r>
          <w:r>
            <w:rPr>
              <w:rStyle w:val="PageNumber"/>
              <w:noProof/>
              <w:sz w:val="20"/>
            </w:rPr>
            <w:t>25</w:t>
          </w:r>
          <w:r w:rsidR="0031651C">
            <w:rPr>
              <w:rStyle w:val="PageNumber"/>
              <w:noProof/>
              <w:sz w:val="20"/>
            </w:rPr>
            <w:fldChar w:fldCharType="end"/>
          </w:r>
        </w:p>
      </w:tc>
    </w:tr>
    <w:tr w:rsidR="00F92ACE" w:rsidRPr="001E1BC9" w14:paraId="1D9A3753" w14:textId="77777777" w:rsidTr="00E35188">
      <w:trPr>
        <w:cantSplit/>
        <w:trHeight w:hRule="exact" w:val="284"/>
      </w:trPr>
      <w:tc>
        <w:tcPr>
          <w:tcW w:w="714" w:type="pct"/>
          <w:tcBorders>
            <w:top w:val="single" w:sz="4" w:space="0" w:color="auto"/>
          </w:tcBorders>
        </w:tcPr>
        <w:p w14:paraId="0A6203ED" w14:textId="77777777" w:rsidR="00F92ACE" w:rsidRPr="001E1BC9" w:rsidRDefault="00F92ACE" w:rsidP="00AC22AD">
          <w:pPr>
            <w:pStyle w:val="Footer"/>
            <w:rPr>
              <w:rFonts w:cstheme="minorHAnsi"/>
              <w:sz w:val="20"/>
            </w:rPr>
          </w:pPr>
          <w:r w:rsidRPr="001E1BC9">
            <w:rPr>
              <w:rFonts w:cstheme="minorHAnsi"/>
              <w:sz w:val="20"/>
            </w:rPr>
            <w:t>OSPAR Commission</w:t>
          </w:r>
        </w:p>
      </w:tc>
      <w:tc>
        <w:tcPr>
          <w:tcW w:w="673" w:type="pct"/>
          <w:tcBorders>
            <w:top w:val="single" w:sz="4" w:space="0" w:color="auto"/>
          </w:tcBorders>
        </w:tcPr>
        <w:p w14:paraId="6D3D4FEB" w14:textId="77777777" w:rsidR="00F92ACE" w:rsidRPr="001E1BC9" w:rsidRDefault="00F92ACE" w:rsidP="00AC22AD">
          <w:pPr>
            <w:tabs>
              <w:tab w:val="left" w:pos="272"/>
              <w:tab w:val="left" w:pos="1418"/>
              <w:tab w:val="center" w:pos="2281"/>
            </w:tabs>
            <w:ind w:left="-675"/>
            <w:jc w:val="center"/>
            <w:rPr>
              <w:rFonts w:asciiTheme="minorHAnsi" w:hAnsiTheme="minorHAnsi" w:cstheme="minorHAnsi"/>
              <w:sz w:val="20"/>
            </w:rPr>
          </w:pPr>
          <w:r w:rsidRPr="001E1BC9">
            <w:rPr>
              <w:rFonts w:asciiTheme="minorHAnsi" w:hAnsiTheme="minorHAnsi" w:cstheme="minorHAnsi"/>
              <w:sz w:val="20"/>
            </w:rPr>
            <w:tab/>
          </w:r>
        </w:p>
      </w:tc>
      <w:tc>
        <w:tcPr>
          <w:tcW w:w="3613" w:type="pct"/>
          <w:tcBorders>
            <w:top w:val="single" w:sz="4" w:space="0" w:color="auto"/>
          </w:tcBorders>
        </w:tcPr>
        <w:p w14:paraId="642FECBF" w14:textId="062D8BD9" w:rsidR="00F92ACE" w:rsidRPr="001E1BC9" w:rsidRDefault="00F92ACE" w:rsidP="006D6145">
          <w:pPr>
            <w:tabs>
              <w:tab w:val="left" w:pos="77"/>
              <w:tab w:val="left" w:pos="272"/>
              <w:tab w:val="left" w:pos="361"/>
            </w:tabs>
            <w:jc w:val="right"/>
            <w:rPr>
              <w:rFonts w:asciiTheme="minorHAnsi" w:hAnsiTheme="minorHAnsi" w:cstheme="minorHAnsi"/>
              <w:sz w:val="20"/>
            </w:rPr>
          </w:pPr>
        </w:p>
      </w:tc>
    </w:tr>
  </w:tbl>
  <w:p w14:paraId="4049401F" w14:textId="77777777" w:rsidR="00F92ACE" w:rsidRDefault="00F92ACE" w:rsidP="00AC22AD"/>
  <w:p w14:paraId="552DBE5A" w14:textId="77777777" w:rsidR="00F92ACE" w:rsidRDefault="00F92A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E35188" w:rsidRPr="00FC1B75" w14:paraId="59BB9D9D" w14:textId="77777777" w:rsidTr="007301BA">
      <w:trPr>
        <w:cantSplit/>
        <w:trHeight w:hRule="exact" w:val="284"/>
      </w:trPr>
      <w:tc>
        <w:tcPr>
          <w:tcW w:w="5000" w:type="pct"/>
          <w:gridSpan w:val="3"/>
          <w:tcBorders>
            <w:bottom w:val="single" w:sz="4" w:space="0" w:color="auto"/>
          </w:tcBorders>
        </w:tcPr>
        <w:p w14:paraId="3F5FD001" w14:textId="77777777" w:rsidR="00E35188" w:rsidRPr="00FC1B75" w:rsidRDefault="00E35188" w:rsidP="007301BA">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26</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26</w:t>
          </w:r>
          <w:r w:rsidRPr="006D051B">
            <w:rPr>
              <w:rStyle w:val="PageNumber"/>
              <w:sz w:val="20"/>
            </w:rPr>
            <w:fldChar w:fldCharType="end"/>
          </w:r>
        </w:p>
      </w:tc>
    </w:tr>
    <w:tr w:rsidR="00E35188" w:rsidRPr="00BC637C" w14:paraId="7C708C46" w14:textId="77777777" w:rsidTr="007301BA">
      <w:trPr>
        <w:cantSplit/>
        <w:trHeight w:hRule="exact" w:val="284"/>
      </w:trPr>
      <w:tc>
        <w:tcPr>
          <w:tcW w:w="1699" w:type="pct"/>
          <w:tcBorders>
            <w:top w:val="single" w:sz="4" w:space="0" w:color="auto"/>
          </w:tcBorders>
        </w:tcPr>
        <w:p w14:paraId="0D9A756B" w14:textId="77777777" w:rsidR="00E35188" w:rsidRPr="00FC1B75" w:rsidRDefault="00E35188" w:rsidP="007301BA">
          <w:pPr>
            <w:pStyle w:val="Footer"/>
            <w:rPr>
              <w:rFonts w:cs="Arial"/>
              <w:sz w:val="20"/>
            </w:rPr>
          </w:pPr>
          <w:r w:rsidRPr="00FC1B75">
            <w:rPr>
              <w:rFonts w:cs="Arial"/>
              <w:sz w:val="20"/>
            </w:rPr>
            <w:t>OSPAR Commission</w:t>
          </w:r>
        </w:p>
      </w:tc>
      <w:tc>
        <w:tcPr>
          <w:tcW w:w="1602" w:type="pct"/>
          <w:tcBorders>
            <w:top w:val="single" w:sz="4" w:space="0" w:color="auto"/>
          </w:tcBorders>
        </w:tcPr>
        <w:p w14:paraId="79973421" w14:textId="77777777" w:rsidR="00E35188" w:rsidRPr="00FC1B75" w:rsidRDefault="00E35188" w:rsidP="007301BA">
          <w:pPr>
            <w:tabs>
              <w:tab w:val="left" w:pos="272"/>
              <w:tab w:val="left" w:pos="1418"/>
              <w:tab w:val="center" w:pos="2281"/>
            </w:tabs>
            <w:ind w:left="-675"/>
            <w:jc w:val="center"/>
            <w:rPr>
              <w:sz w:val="20"/>
            </w:rPr>
          </w:pPr>
          <w:r w:rsidRPr="00FC1B75">
            <w:rPr>
              <w:sz w:val="20"/>
            </w:rPr>
            <w:tab/>
          </w:r>
        </w:p>
      </w:tc>
      <w:tc>
        <w:tcPr>
          <w:tcW w:w="1699" w:type="pct"/>
          <w:tcBorders>
            <w:top w:val="single" w:sz="4" w:space="0" w:color="auto"/>
          </w:tcBorders>
        </w:tcPr>
        <w:p w14:paraId="38B7C0E9" w14:textId="4A1D1984" w:rsidR="00E35188" w:rsidRPr="00BC637C" w:rsidRDefault="00E35188" w:rsidP="00A46B59">
          <w:pPr>
            <w:tabs>
              <w:tab w:val="left" w:pos="77"/>
              <w:tab w:val="left" w:pos="272"/>
              <w:tab w:val="left" w:pos="361"/>
            </w:tabs>
            <w:jc w:val="right"/>
            <w:rPr>
              <w:sz w:val="20"/>
            </w:rPr>
          </w:pPr>
        </w:p>
      </w:tc>
    </w:tr>
  </w:tbl>
  <w:p w14:paraId="04C24D46" w14:textId="77777777" w:rsidR="00E35188" w:rsidRDefault="00E35188" w:rsidP="007301B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205" w:type="pct"/>
      <w:tblCellMar>
        <w:top w:w="57" w:type="dxa"/>
        <w:left w:w="0" w:type="dxa"/>
        <w:bottom w:w="57" w:type="dxa"/>
        <w:right w:w="0" w:type="dxa"/>
      </w:tblCellMar>
      <w:tblLook w:val="0000" w:firstRow="0" w:lastRow="0" w:firstColumn="0" w:lastColumn="0" w:noHBand="0" w:noVBand="0"/>
    </w:tblPr>
    <w:tblGrid>
      <w:gridCol w:w="2166"/>
      <w:gridCol w:w="2041"/>
      <w:gridCol w:w="10960"/>
    </w:tblGrid>
    <w:tr w:rsidR="00E35188" w:rsidRPr="00FC1B75" w14:paraId="4EE005F8" w14:textId="77777777" w:rsidTr="00E35188">
      <w:trPr>
        <w:cantSplit/>
        <w:trHeight w:hRule="exact" w:val="284"/>
      </w:trPr>
      <w:tc>
        <w:tcPr>
          <w:tcW w:w="5000" w:type="pct"/>
          <w:gridSpan w:val="3"/>
          <w:tcBorders>
            <w:bottom w:val="single" w:sz="4" w:space="0" w:color="auto"/>
          </w:tcBorders>
        </w:tcPr>
        <w:p w14:paraId="1E7D7AE3" w14:textId="77777777" w:rsidR="00E35188" w:rsidRPr="00FC1B75" w:rsidRDefault="00E35188" w:rsidP="000C6D34">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Pr>
              <w:rStyle w:val="PageNumber"/>
              <w:noProof/>
              <w:sz w:val="20"/>
            </w:rPr>
            <w:fldChar w:fldCharType="begin"/>
          </w:r>
          <w:r>
            <w:rPr>
              <w:rStyle w:val="PageNumber"/>
              <w:noProof/>
              <w:sz w:val="20"/>
            </w:rPr>
            <w:instrText xml:space="preserve"> DOCPROPERTY  Pages  \* MERGEFORMAT </w:instrText>
          </w:r>
          <w:r>
            <w:rPr>
              <w:rStyle w:val="PageNumber"/>
              <w:noProof/>
              <w:sz w:val="20"/>
            </w:rPr>
            <w:fldChar w:fldCharType="separate"/>
          </w:r>
          <w:r>
            <w:rPr>
              <w:rStyle w:val="PageNumber"/>
              <w:noProof/>
              <w:sz w:val="20"/>
            </w:rPr>
            <w:t>25</w:t>
          </w:r>
          <w:r>
            <w:rPr>
              <w:rStyle w:val="PageNumber"/>
              <w:noProof/>
              <w:sz w:val="20"/>
            </w:rPr>
            <w:fldChar w:fldCharType="end"/>
          </w:r>
        </w:p>
      </w:tc>
    </w:tr>
    <w:tr w:rsidR="00E35188" w:rsidRPr="001E1BC9" w14:paraId="188FE3E7" w14:textId="77777777" w:rsidTr="00E35188">
      <w:trPr>
        <w:cantSplit/>
        <w:trHeight w:hRule="exact" w:val="284"/>
      </w:trPr>
      <w:tc>
        <w:tcPr>
          <w:tcW w:w="714" w:type="pct"/>
          <w:tcBorders>
            <w:top w:val="single" w:sz="4" w:space="0" w:color="auto"/>
          </w:tcBorders>
        </w:tcPr>
        <w:p w14:paraId="0351DB15" w14:textId="77777777" w:rsidR="00E35188" w:rsidRPr="001E1BC9" w:rsidRDefault="00E35188" w:rsidP="00AC22AD">
          <w:pPr>
            <w:pStyle w:val="Footer"/>
            <w:rPr>
              <w:rFonts w:cstheme="minorHAnsi"/>
              <w:sz w:val="20"/>
            </w:rPr>
          </w:pPr>
          <w:r w:rsidRPr="001E1BC9">
            <w:rPr>
              <w:rFonts w:cstheme="minorHAnsi"/>
              <w:sz w:val="20"/>
            </w:rPr>
            <w:t>OSPAR Commission</w:t>
          </w:r>
        </w:p>
      </w:tc>
      <w:tc>
        <w:tcPr>
          <w:tcW w:w="673" w:type="pct"/>
          <w:tcBorders>
            <w:top w:val="single" w:sz="4" w:space="0" w:color="auto"/>
          </w:tcBorders>
        </w:tcPr>
        <w:p w14:paraId="764E5BE3" w14:textId="77777777" w:rsidR="00E35188" w:rsidRPr="001E1BC9" w:rsidRDefault="00E35188" w:rsidP="00AC22AD">
          <w:pPr>
            <w:tabs>
              <w:tab w:val="left" w:pos="272"/>
              <w:tab w:val="left" w:pos="1418"/>
              <w:tab w:val="center" w:pos="2281"/>
            </w:tabs>
            <w:ind w:left="-675"/>
            <w:jc w:val="center"/>
            <w:rPr>
              <w:rFonts w:asciiTheme="minorHAnsi" w:hAnsiTheme="minorHAnsi" w:cstheme="minorHAnsi"/>
              <w:sz w:val="20"/>
            </w:rPr>
          </w:pPr>
          <w:r w:rsidRPr="001E1BC9">
            <w:rPr>
              <w:rFonts w:asciiTheme="minorHAnsi" w:hAnsiTheme="minorHAnsi" w:cstheme="minorHAnsi"/>
              <w:sz w:val="20"/>
            </w:rPr>
            <w:tab/>
          </w:r>
        </w:p>
      </w:tc>
      <w:tc>
        <w:tcPr>
          <w:tcW w:w="3613" w:type="pct"/>
          <w:tcBorders>
            <w:top w:val="single" w:sz="4" w:space="0" w:color="auto"/>
          </w:tcBorders>
        </w:tcPr>
        <w:p w14:paraId="37281A90" w14:textId="77777777" w:rsidR="00E35188" w:rsidRPr="001E1BC9" w:rsidRDefault="00E35188" w:rsidP="006D6145">
          <w:pPr>
            <w:tabs>
              <w:tab w:val="left" w:pos="77"/>
              <w:tab w:val="left" w:pos="272"/>
              <w:tab w:val="left" w:pos="361"/>
            </w:tabs>
            <w:jc w:val="right"/>
            <w:rPr>
              <w:rFonts w:asciiTheme="minorHAnsi" w:hAnsiTheme="minorHAnsi" w:cstheme="minorHAnsi"/>
              <w:sz w:val="20"/>
            </w:rPr>
          </w:pPr>
        </w:p>
      </w:tc>
    </w:tr>
  </w:tbl>
  <w:p w14:paraId="6326C35F" w14:textId="77777777" w:rsidR="00E35188" w:rsidRDefault="00E35188" w:rsidP="00AC22AD"/>
  <w:p w14:paraId="61220507" w14:textId="77777777" w:rsidR="00E35188" w:rsidRDefault="00E3518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E35188" w:rsidRPr="00FC1B75" w14:paraId="3419430E" w14:textId="77777777" w:rsidTr="007301BA">
      <w:trPr>
        <w:cantSplit/>
        <w:trHeight w:hRule="exact" w:val="284"/>
      </w:trPr>
      <w:tc>
        <w:tcPr>
          <w:tcW w:w="5000" w:type="pct"/>
          <w:gridSpan w:val="3"/>
          <w:tcBorders>
            <w:bottom w:val="single" w:sz="4" w:space="0" w:color="auto"/>
          </w:tcBorders>
        </w:tcPr>
        <w:p w14:paraId="7B6D8877" w14:textId="77777777" w:rsidR="00E35188" w:rsidRPr="00FC1B75" w:rsidRDefault="00E35188" w:rsidP="007301BA">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26</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26</w:t>
          </w:r>
          <w:r w:rsidRPr="006D051B">
            <w:rPr>
              <w:rStyle w:val="PageNumber"/>
              <w:sz w:val="20"/>
            </w:rPr>
            <w:fldChar w:fldCharType="end"/>
          </w:r>
        </w:p>
      </w:tc>
    </w:tr>
    <w:tr w:rsidR="00E35188" w:rsidRPr="00BC637C" w14:paraId="15BED867" w14:textId="77777777" w:rsidTr="007301BA">
      <w:trPr>
        <w:cantSplit/>
        <w:trHeight w:hRule="exact" w:val="284"/>
      </w:trPr>
      <w:tc>
        <w:tcPr>
          <w:tcW w:w="1699" w:type="pct"/>
          <w:tcBorders>
            <w:top w:val="single" w:sz="4" w:space="0" w:color="auto"/>
          </w:tcBorders>
        </w:tcPr>
        <w:p w14:paraId="482E3372" w14:textId="77777777" w:rsidR="00E35188" w:rsidRPr="00FC1B75" w:rsidRDefault="00E35188" w:rsidP="007301BA">
          <w:pPr>
            <w:pStyle w:val="Footer"/>
            <w:rPr>
              <w:rFonts w:cs="Arial"/>
              <w:sz w:val="20"/>
            </w:rPr>
          </w:pPr>
          <w:r w:rsidRPr="00FC1B75">
            <w:rPr>
              <w:rFonts w:cs="Arial"/>
              <w:sz w:val="20"/>
            </w:rPr>
            <w:t>OSPAR Commission</w:t>
          </w:r>
        </w:p>
      </w:tc>
      <w:tc>
        <w:tcPr>
          <w:tcW w:w="1602" w:type="pct"/>
          <w:tcBorders>
            <w:top w:val="single" w:sz="4" w:space="0" w:color="auto"/>
          </w:tcBorders>
        </w:tcPr>
        <w:p w14:paraId="2F788192" w14:textId="77777777" w:rsidR="00E35188" w:rsidRPr="00FC1B75" w:rsidRDefault="00E35188" w:rsidP="007301BA">
          <w:pPr>
            <w:tabs>
              <w:tab w:val="left" w:pos="272"/>
              <w:tab w:val="left" w:pos="1418"/>
              <w:tab w:val="center" w:pos="2281"/>
            </w:tabs>
            <w:ind w:left="-675"/>
            <w:jc w:val="center"/>
            <w:rPr>
              <w:sz w:val="20"/>
            </w:rPr>
          </w:pPr>
          <w:r w:rsidRPr="00FC1B75">
            <w:rPr>
              <w:sz w:val="20"/>
            </w:rPr>
            <w:tab/>
          </w:r>
        </w:p>
      </w:tc>
      <w:tc>
        <w:tcPr>
          <w:tcW w:w="1699" w:type="pct"/>
          <w:tcBorders>
            <w:top w:val="single" w:sz="4" w:space="0" w:color="auto"/>
          </w:tcBorders>
        </w:tcPr>
        <w:p w14:paraId="3D0F79C2" w14:textId="77777777" w:rsidR="00E35188" w:rsidRPr="00BC637C" w:rsidRDefault="00E35188" w:rsidP="00A46B59">
          <w:pPr>
            <w:tabs>
              <w:tab w:val="left" w:pos="77"/>
              <w:tab w:val="left" w:pos="272"/>
              <w:tab w:val="left" w:pos="361"/>
            </w:tabs>
            <w:jc w:val="right"/>
            <w:rPr>
              <w:sz w:val="20"/>
            </w:rPr>
          </w:pPr>
        </w:p>
      </w:tc>
    </w:tr>
  </w:tbl>
  <w:p w14:paraId="5580A17D" w14:textId="77777777" w:rsidR="00E35188" w:rsidRDefault="00E35188" w:rsidP="007301B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5952F3" w14:textId="77777777" w:rsidR="00557D4E" w:rsidRDefault="00557D4E" w:rsidP="00FB113B">
      <w:r>
        <w:separator/>
      </w:r>
    </w:p>
  </w:footnote>
  <w:footnote w:type="continuationSeparator" w:id="0">
    <w:p w14:paraId="5BA00547" w14:textId="77777777" w:rsidR="00557D4E" w:rsidRDefault="00557D4E" w:rsidP="00FB113B">
      <w:r>
        <w:continuationSeparator/>
      </w:r>
    </w:p>
  </w:footnote>
  <w:footnote w:type="continuationNotice" w:id="1">
    <w:p w14:paraId="412E3064" w14:textId="77777777" w:rsidR="00557D4E" w:rsidRDefault="00557D4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A653A" w14:textId="77777777" w:rsidR="00437F65" w:rsidRDefault="00437F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3"/>
      <w:gridCol w:w="3213"/>
      <w:gridCol w:w="3213"/>
    </w:tblGrid>
    <w:tr w:rsidR="00F92ACE" w14:paraId="5FFC1059" w14:textId="77777777" w:rsidTr="005C0B18">
      <w:tc>
        <w:tcPr>
          <w:tcW w:w="3213" w:type="dxa"/>
        </w:tcPr>
        <w:p w14:paraId="6778811F" w14:textId="77777777" w:rsidR="00F92ACE" w:rsidRDefault="00F92ACE" w:rsidP="005C0B18">
          <w:pPr>
            <w:ind w:left="-115"/>
          </w:pPr>
        </w:p>
      </w:tc>
      <w:tc>
        <w:tcPr>
          <w:tcW w:w="3213" w:type="dxa"/>
        </w:tcPr>
        <w:p w14:paraId="14FE7AE6" w14:textId="77777777" w:rsidR="00F92ACE" w:rsidRDefault="00F92ACE" w:rsidP="005C0B18">
          <w:pPr>
            <w:jc w:val="center"/>
          </w:pPr>
        </w:p>
      </w:tc>
      <w:tc>
        <w:tcPr>
          <w:tcW w:w="3213" w:type="dxa"/>
        </w:tcPr>
        <w:p w14:paraId="01BD8DF8" w14:textId="77777777" w:rsidR="00F92ACE" w:rsidRDefault="00F92ACE" w:rsidP="005C0B18">
          <w:pPr>
            <w:ind w:right="-115"/>
            <w:jc w:val="right"/>
          </w:pPr>
        </w:p>
      </w:tc>
    </w:tr>
  </w:tbl>
  <w:p w14:paraId="640C1B72" w14:textId="77777777" w:rsidR="00F92ACE" w:rsidRDefault="00F92AC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DE1BF" w14:textId="77777777" w:rsidR="00437F65" w:rsidRDefault="00437F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hybridMultilevel"/>
    <w:tmpl w:val="E5DCAF2A"/>
    <w:lvl w:ilvl="0" w:tplc="482E7590">
      <w:start w:val="1"/>
      <w:numFmt w:val="bullet"/>
      <w:pStyle w:val="ListBullet"/>
      <w:lvlText w:val=""/>
      <w:lvlJc w:val="left"/>
      <w:pPr>
        <w:tabs>
          <w:tab w:val="num" w:pos="360"/>
        </w:tabs>
        <w:ind w:left="357" w:hanging="357"/>
      </w:pPr>
      <w:rPr>
        <w:rFonts w:ascii="Symbol" w:hAnsi="Symbol" w:hint="default"/>
        <w:color w:val="0C2677"/>
      </w:rPr>
    </w:lvl>
    <w:lvl w:ilvl="1" w:tplc="85520A04">
      <w:numFmt w:val="decimal"/>
      <w:lvlText w:val=""/>
      <w:lvlJc w:val="left"/>
    </w:lvl>
    <w:lvl w:ilvl="2" w:tplc="8E5CCE10">
      <w:numFmt w:val="decimal"/>
      <w:lvlText w:val=""/>
      <w:lvlJc w:val="left"/>
    </w:lvl>
    <w:lvl w:ilvl="3" w:tplc="E2C64C44">
      <w:numFmt w:val="decimal"/>
      <w:lvlText w:val=""/>
      <w:lvlJc w:val="left"/>
    </w:lvl>
    <w:lvl w:ilvl="4" w:tplc="38DA9376">
      <w:numFmt w:val="decimal"/>
      <w:lvlText w:val=""/>
      <w:lvlJc w:val="left"/>
    </w:lvl>
    <w:lvl w:ilvl="5" w:tplc="B748E3BA">
      <w:numFmt w:val="decimal"/>
      <w:lvlText w:val=""/>
      <w:lvlJc w:val="left"/>
    </w:lvl>
    <w:lvl w:ilvl="6" w:tplc="D8B2CF3C">
      <w:numFmt w:val="decimal"/>
      <w:lvlText w:val=""/>
      <w:lvlJc w:val="left"/>
    </w:lvl>
    <w:lvl w:ilvl="7" w:tplc="B9F43D74">
      <w:numFmt w:val="decimal"/>
      <w:lvlText w:val=""/>
      <w:lvlJc w:val="left"/>
    </w:lvl>
    <w:lvl w:ilvl="8" w:tplc="00CCD86E">
      <w:numFmt w:val="decimal"/>
      <w:lvlText w:val=""/>
      <w:lvlJc w:val="left"/>
    </w:lvl>
  </w:abstractNum>
  <w:abstractNum w:abstractNumId="2" w15:restartNumberingAfterBreak="0">
    <w:nsid w:val="0275043D"/>
    <w:multiLevelType w:val="hybridMultilevel"/>
    <w:tmpl w:val="AA1C71E4"/>
    <w:lvl w:ilvl="0" w:tplc="9984D23E">
      <w:start w:val="1"/>
      <w:numFmt w:val="bullet"/>
      <w:lvlText w:val="•"/>
      <w:lvlJc w:val="left"/>
      <w:pPr>
        <w:tabs>
          <w:tab w:val="num" w:pos="720"/>
        </w:tabs>
        <w:ind w:left="720" w:hanging="360"/>
      </w:pPr>
      <w:rPr>
        <w:rFonts w:ascii="Arial" w:hAnsi="Arial" w:hint="default"/>
      </w:rPr>
    </w:lvl>
    <w:lvl w:ilvl="1" w:tplc="4FFE33E0" w:tentative="1">
      <w:start w:val="1"/>
      <w:numFmt w:val="bullet"/>
      <w:lvlText w:val="•"/>
      <w:lvlJc w:val="left"/>
      <w:pPr>
        <w:tabs>
          <w:tab w:val="num" w:pos="1440"/>
        </w:tabs>
        <w:ind w:left="1440" w:hanging="360"/>
      </w:pPr>
      <w:rPr>
        <w:rFonts w:ascii="Arial" w:hAnsi="Arial" w:hint="default"/>
      </w:rPr>
    </w:lvl>
    <w:lvl w:ilvl="2" w:tplc="71707150" w:tentative="1">
      <w:start w:val="1"/>
      <w:numFmt w:val="bullet"/>
      <w:lvlText w:val="•"/>
      <w:lvlJc w:val="left"/>
      <w:pPr>
        <w:tabs>
          <w:tab w:val="num" w:pos="2160"/>
        </w:tabs>
        <w:ind w:left="2160" w:hanging="360"/>
      </w:pPr>
      <w:rPr>
        <w:rFonts w:ascii="Arial" w:hAnsi="Arial" w:hint="default"/>
      </w:rPr>
    </w:lvl>
    <w:lvl w:ilvl="3" w:tplc="8348FA82" w:tentative="1">
      <w:start w:val="1"/>
      <w:numFmt w:val="bullet"/>
      <w:lvlText w:val="•"/>
      <w:lvlJc w:val="left"/>
      <w:pPr>
        <w:tabs>
          <w:tab w:val="num" w:pos="2880"/>
        </w:tabs>
        <w:ind w:left="2880" w:hanging="360"/>
      </w:pPr>
      <w:rPr>
        <w:rFonts w:ascii="Arial" w:hAnsi="Arial" w:hint="default"/>
      </w:rPr>
    </w:lvl>
    <w:lvl w:ilvl="4" w:tplc="F4D066BE" w:tentative="1">
      <w:start w:val="1"/>
      <w:numFmt w:val="bullet"/>
      <w:lvlText w:val="•"/>
      <w:lvlJc w:val="left"/>
      <w:pPr>
        <w:tabs>
          <w:tab w:val="num" w:pos="3600"/>
        </w:tabs>
        <w:ind w:left="3600" w:hanging="360"/>
      </w:pPr>
      <w:rPr>
        <w:rFonts w:ascii="Arial" w:hAnsi="Arial" w:hint="default"/>
      </w:rPr>
    </w:lvl>
    <w:lvl w:ilvl="5" w:tplc="E32CBB2E" w:tentative="1">
      <w:start w:val="1"/>
      <w:numFmt w:val="bullet"/>
      <w:lvlText w:val="•"/>
      <w:lvlJc w:val="left"/>
      <w:pPr>
        <w:tabs>
          <w:tab w:val="num" w:pos="4320"/>
        </w:tabs>
        <w:ind w:left="4320" w:hanging="360"/>
      </w:pPr>
      <w:rPr>
        <w:rFonts w:ascii="Arial" w:hAnsi="Arial" w:hint="default"/>
      </w:rPr>
    </w:lvl>
    <w:lvl w:ilvl="6" w:tplc="4BB6106E" w:tentative="1">
      <w:start w:val="1"/>
      <w:numFmt w:val="bullet"/>
      <w:lvlText w:val="•"/>
      <w:lvlJc w:val="left"/>
      <w:pPr>
        <w:tabs>
          <w:tab w:val="num" w:pos="5040"/>
        </w:tabs>
        <w:ind w:left="5040" w:hanging="360"/>
      </w:pPr>
      <w:rPr>
        <w:rFonts w:ascii="Arial" w:hAnsi="Arial" w:hint="default"/>
      </w:rPr>
    </w:lvl>
    <w:lvl w:ilvl="7" w:tplc="C90EB100" w:tentative="1">
      <w:start w:val="1"/>
      <w:numFmt w:val="bullet"/>
      <w:lvlText w:val="•"/>
      <w:lvlJc w:val="left"/>
      <w:pPr>
        <w:tabs>
          <w:tab w:val="num" w:pos="5760"/>
        </w:tabs>
        <w:ind w:left="5760" w:hanging="360"/>
      </w:pPr>
      <w:rPr>
        <w:rFonts w:ascii="Arial" w:hAnsi="Arial" w:hint="default"/>
      </w:rPr>
    </w:lvl>
    <w:lvl w:ilvl="8" w:tplc="DBBE97D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953C80"/>
    <w:multiLevelType w:val="hybridMultilevel"/>
    <w:tmpl w:val="7A64B1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7" w15:restartNumberingAfterBreak="0">
    <w:nsid w:val="1131437F"/>
    <w:multiLevelType w:val="hybridMultilevel"/>
    <w:tmpl w:val="3E606166"/>
    <w:lvl w:ilvl="0" w:tplc="08090019">
      <w:start w:val="1"/>
      <w:numFmt w:val="lowerLetter"/>
      <w:lvlText w:val="%1."/>
      <w:lvlJc w:val="left"/>
      <w:pPr>
        <w:ind w:left="144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69B6628"/>
    <w:multiLevelType w:val="hybridMultilevel"/>
    <w:tmpl w:val="2250AC3E"/>
    <w:lvl w:ilvl="0" w:tplc="08090019">
      <w:start w:val="1"/>
      <w:numFmt w:val="lowerLetter"/>
      <w:lvlText w:val="%1."/>
      <w:lvlJc w:val="left"/>
      <w:pPr>
        <w:ind w:left="2007" w:hanging="360"/>
      </w:pPr>
    </w:lvl>
    <w:lvl w:ilvl="1" w:tplc="08090019" w:tentative="1">
      <w:start w:val="1"/>
      <w:numFmt w:val="lowerLetter"/>
      <w:lvlText w:val="%2."/>
      <w:lvlJc w:val="left"/>
      <w:pPr>
        <w:ind w:left="2727" w:hanging="360"/>
      </w:pPr>
    </w:lvl>
    <w:lvl w:ilvl="2" w:tplc="0809001B" w:tentative="1">
      <w:start w:val="1"/>
      <w:numFmt w:val="lowerRoman"/>
      <w:lvlText w:val="%3."/>
      <w:lvlJc w:val="right"/>
      <w:pPr>
        <w:ind w:left="3447" w:hanging="180"/>
      </w:pPr>
    </w:lvl>
    <w:lvl w:ilvl="3" w:tplc="0809000F" w:tentative="1">
      <w:start w:val="1"/>
      <w:numFmt w:val="decimal"/>
      <w:lvlText w:val="%4."/>
      <w:lvlJc w:val="left"/>
      <w:pPr>
        <w:ind w:left="4167" w:hanging="360"/>
      </w:pPr>
    </w:lvl>
    <w:lvl w:ilvl="4" w:tplc="08090019" w:tentative="1">
      <w:start w:val="1"/>
      <w:numFmt w:val="lowerLetter"/>
      <w:lvlText w:val="%5."/>
      <w:lvlJc w:val="left"/>
      <w:pPr>
        <w:ind w:left="4887" w:hanging="360"/>
      </w:pPr>
    </w:lvl>
    <w:lvl w:ilvl="5" w:tplc="0809001B" w:tentative="1">
      <w:start w:val="1"/>
      <w:numFmt w:val="lowerRoman"/>
      <w:lvlText w:val="%6."/>
      <w:lvlJc w:val="right"/>
      <w:pPr>
        <w:ind w:left="5607" w:hanging="180"/>
      </w:pPr>
    </w:lvl>
    <w:lvl w:ilvl="6" w:tplc="0809000F" w:tentative="1">
      <w:start w:val="1"/>
      <w:numFmt w:val="decimal"/>
      <w:lvlText w:val="%7."/>
      <w:lvlJc w:val="left"/>
      <w:pPr>
        <w:ind w:left="6327" w:hanging="360"/>
      </w:pPr>
    </w:lvl>
    <w:lvl w:ilvl="7" w:tplc="08090019" w:tentative="1">
      <w:start w:val="1"/>
      <w:numFmt w:val="lowerLetter"/>
      <w:lvlText w:val="%8."/>
      <w:lvlJc w:val="left"/>
      <w:pPr>
        <w:ind w:left="7047" w:hanging="360"/>
      </w:pPr>
    </w:lvl>
    <w:lvl w:ilvl="8" w:tplc="0809001B" w:tentative="1">
      <w:start w:val="1"/>
      <w:numFmt w:val="lowerRoman"/>
      <w:lvlText w:val="%9."/>
      <w:lvlJc w:val="right"/>
      <w:pPr>
        <w:ind w:left="7767" w:hanging="180"/>
      </w:pPr>
    </w:lvl>
  </w:abstractNum>
  <w:abstractNum w:abstractNumId="9" w15:restartNumberingAfterBreak="0">
    <w:nsid w:val="1C023671"/>
    <w:multiLevelType w:val="hybridMultilevel"/>
    <w:tmpl w:val="5B60F024"/>
    <w:lvl w:ilvl="0" w:tplc="53A670B6">
      <w:start w:val="2"/>
      <w:numFmt w:val="decimal"/>
      <w:lvlText w:val="%1."/>
      <w:lvlJc w:val="left"/>
      <w:pPr>
        <w:ind w:left="2880" w:hanging="360"/>
      </w:pPr>
      <w:rPr>
        <w:rFonts w:hint="default"/>
        <w:b w:val="0"/>
      </w:rPr>
    </w:lvl>
    <w:lvl w:ilvl="1" w:tplc="04070019" w:tentative="1">
      <w:start w:val="1"/>
      <w:numFmt w:val="lowerLetter"/>
      <w:lvlText w:val="%2."/>
      <w:lvlJc w:val="left"/>
      <w:pPr>
        <w:ind w:left="3600" w:hanging="360"/>
      </w:pPr>
    </w:lvl>
    <w:lvl w:ilvl="2" w:tplc="0407001B" w:tentative="1">
      <w:start w:val="1"/>
      <w:numFmt w:val="lowerRoman"/>
      <w:lvlText w:val="%3."/>
      <w:lvlJc w:val="right"/>
      <w:pPr>
        <w:ind w:left="4320" w:hanging="180"/>
      </w:pPr>
    </w:lvl>
    <w:lvl w:ilvl="3" w:tplc="0407000F" w:tentative="1">
      <w:start w:val="1"/>
      <w:numFmt w:val="decimal"/>
      <w:lvlText w:val="%4."/>
      <w:lvlJc w:val="left"/>
      <w:pPr>
        <w:ind w:left="5040" w:hanging="360"/>
      </w:pPr>
    </w:lvl>
    <w:lvl w:ilvl="4" w:tplc="04070019" w:tentative="1">
      <w:start w:val="1"/>
      <w:numFmt w:val="lowerLetter"/>
      <w:lvlText w:val="%5."/>
      <w:lvlJc w:val="left"/>
      <w:pPr>
        <w:ind w:left="5760" w:hanging="360"/>
      </w:pPr>
    </w:lvl>
    <w:lvl w:ilvl="5" w:tplc="0407001B" w:tentative="1">
      <w:start w:val="1"/>
      <w:numFmt w:val="lowerRoman"/>
      <w:lvlText w:val="%6."/>
      <w:lvlJc w:val="right"/>
      <w:pPr>
        <w:ind w:left="6480" w:hanging="180"/>
      </w:pPr>
    </w:lvl>
    <w:lvl w:ilvl="6" w:tplc="0407000F" w:tentative="1">
      <w:start w:val="1"/>
      <w:numFmt w:val="decimal"/>
      <w:lvlText w:val="%7."/>
      <w:lvlJc w:val="left"/>
      <w:pPr>
        <w:ind w:left="7200" w:hanging="360"/>
      </w:pPr>
    </w:lvl>
    <w:lvl w:ilvl="7" w:tplc="04070019" w:tentative="1">
      <w:start w:val="1"/>
      <w:numFmt w:val="lowerLetter"/>
      <w:lvlText w:val="%8."/>
      <w:lvlJc w:val="left"/>
      <w:pPr>
        <w:ind w:left="7920" w:hanging="360"/>
      </w:pPr>
    </w:lvl>
    <w:lvl w:ilvl="8" w:tplc="0407001B" w:tentative="1">
      <w:start w:val="1"/>
      <w:numFmt w:val="lowerRoman"/>
      <w:lvlText w:val="%9."/>
      <w:lvlJc w:val="right"/>
      <w:pPr>
        <w:ind w:left="8640" w:hanging="180"/>
      </w:pPr>
    </w:lvl>
  </w:abstractNum>
  <w:abstractNum w:abstractNumId="10" w15:restartNumberingAfterBreak="0">
    <w:nsid w:val="20A340FB"/>
    <w:multiLevelType w:val="hybridMultilevel"/>
    <w:tmpl w:val="2CD66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C1F6119"/>
    <w:multiLevelType w:val="hybridMultilevel"/>
    <w:tmpl w:val="AE568B7A"/>
    <w:lvl w:ilvl="0" w:tplc="08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D623954"/>
    <w:multiLevelType w:val="hybridMultilevel"/>
    <w:tmpl w:val="0188FE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D9E483B"/>
    <w:multiLevelType w:val="hybridMultilevel"/>
    <w:tmpl w:val="74AEC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397DBC"/>
    <w:multiLevelType w:val="hybridMultilevel"/>
    <w:tmpl w:val="C8D65E2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3DC4CBF"/>
    <w:multiLevelType w:val="hybridMultilevel"/>
    <w:tmpl w:val="923C8CA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39372575"/>
    <w:multiLevelType w:val="hybridMultilevel"/>
    <w:tmpl w:val="20FA9C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E4E6C7A"/>
    <w:multiLevelType w:val="hybridMultilevel"/>
    <w:tmpl w:val="8F900B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E6B4B29"/>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0B639C8"/>
    <w:multiLevelType w:val="hybridMultilevel"/>
    <w:tmpl w:val="3DFC48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0CD2C29"/>
    <w:multiLevelType w:val="hybridMultilevel"/>
    <w:tmpl w:val="B1384EAE"/>
    <w:lvl w:ilvl="0" w:tplc="0413000F">
      <w:start w:val="1"/>
      <w:numFmt w:val="decimal"/>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6863D36"/>
    <w:multiLevelType w:val="hybridMultilevel"/>
    <w:tmpl w:val="E46EE9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5E77BE"/>
    <w:multiLevelType w:val="hybridMultilevel"/>
    <w:tmpl w:val="F836E526"/>
    <w:lvl w:ilvl="0" w:tplc="B1F6E04A">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30"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AC51312"/>
    <w:multiLevelType w:val="hybridMultilevel"/>
    <w:tmpl w:val="A89046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C811C22"/>
    <w:multiLevelType w:val="hybridMultilevel"/>
    <w:tmpl w:val="D3DC2D5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3C25ACF"/>
    <w:multiLevelType w:val="hybridMultilevel"/>
    <w:tmpl w:val="0A20E5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5D784D"/>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0095468"/>
    <w:multiLevelType w:val="hybridMultilevel"/>
    <w:tmpl w:val="AF76C7CC"/>
    <w:lvl w:ilvl="0" w:tplc="750268EA">
      <w:start w:val="1"/>
      <w:numFmt w:val="bullet"/>
      <w:lvlText w:val="•"/>
      <w:lvlJc w:val="left"/>
      <w:pPr>
        <w:tabs>
          <w:tab w:val="num" w:pos="720"/>
        </w:tabs>
        <w:ind w:left="720" w:hanging="360"/>
      </w:pPr>
      <w:rPr>
        <w:rFonts w:ascii="Arial" w:hAnsi="Arial" w:hint="default"/>
      </w:rPr>
    </w:lvl>
    <w:lvl w:ilvl="1" w:tplc="3B90796C" w:tentative="1">
      <w:start w:val="1"/>
      <w:numFmt w:val="bullet"/>
      <w:lvlText w:val="•"/>
      <w:lvlJc w:val="left"/>
      <w:pPr>
        <w:tabs>
          <w:tab w:val="num" w:pos="1440"/>
        </w:tabs>
        <w:ind w:left="1440" w:hanging="360"/>
      </w:pPr>
      <w:rPr>
        <w:rFonts w:ascii="Arial" w:hAnsi="Arial" w:hint="default"/>
      </w:rPr>
    </w:lvl>
    <w:lvl w:ilvl="2" w:tplc="BAF6F0FE" w:tentative="1">
      <w:start w:val="1"/>
      <w:numFmt w:val="bullet"/>
      <w:lvlText w:val="•"/>
      <w:lvlJc w:val="left"/>
      <w:pPr>
        <w:tabs>
          <w:tab w:val="num" w:pos="2160"/>
        </w:tabs>
        <w:ind w:left="2160" w:hanging="360"/>
      </w:pPr>
      <w:rPr>
        <w:rFonts w:ascii="Arial" w:hAnsi="Arial" w:hint="default"/>
      </w:rPr>
    </w:lvl>
    <w:lvl w:ilvl="3" w:tplc="ED928546" w:tentative="1">
      <w:start w:val="1"/>
      <w:numFmt w:val="bullet"/>
      <w:lvlText w:val="•"/>
      <w:lvlJc w:val="left"/>
      <w:pPr>
        <w:tabs>
          <w:tab w:val="num" w:pos="2880"/>
        </w:tabs>
        <w:ind w:left="2880" w:hanging="360"/>
      </w:pPr>
      <w:rPr>
        <w:rFonts w:ascii="Arial" w:hAnsi="Arial" w:hint="default"/>
      </w:rPr>
    </w:lvl>
    <w:lvl w:ilvl="4" w:tplc="39467C24" w:tentative="1">
      <w:start w:val="1"/>
      <w:numFmt w:val="bullet"/>
      <w:lvlText w:val="•"/>
      <w:lvlJc w:val="left"/>
      <w:pPr>
        <w:tabs>
          <w:tab w:val="num" w:pos="3600"/>
        </w:tabs>
        <w:ind w:left="3600" w:hanging="360"/>
      </w:pPr>
      <w:rPr>
        <w:rFonts w:ascii="Arial" w:hAnsi="Arial" w:hint="default"/>
      </w:rPr>
    </w:lvl>
    <w:lvl w:ilvl="5" w:tplc="1882B174" w:tentative="1">
      <w:start w:val="1"/>
      <w:numFmt w:val="bullet"/>
      <w:lvlText w:val="•"/>
      <w:lvlJc w:val="left"/>
      <w:pPr>
        <w:tabs>
          <w:tab w:val="num" w:pos="4320"/>
        </w:tabs>
        <w:ind w:left="4320" w:hanging="360"/>
      </w:pPr>
      <w:rPr>
        <w:rFonts w:ascii="Arial" w:hAnsi="Arial" w:hint="default"/>
      </w:rPr>
    </w:lvl>
    <w:lvl w:ilvl="6" w:tplc="2E4C72AA" w:tentative="1">
      <w:start w:val="1"/>
      <w:numFmt w:val="bullet"/>
      <w:lvlText w:val="•"/>
      <w:lvlJc w:val="left"/>
      <w:pPr>
        <w:tabs>
          <w:tab w:val="num" w:pos="5040"/>
        </w:tabs>
        <w:ind w:left="5040" w:hanging="360"/>
      </w:pPr>
      <w:rPr>
        <w:rFonts w:ascii="Arial" w:hAnsi="Arial" w:hint="default"/>
      </w:rPr>
    </w:lvl>
    <w:lvl w:ilvl="7" w:tplc="69F8EB6C" w:tentative="1">
      <w:start w:val="1"/>
      <w:numFmt w:val="bullet"/>
      <w:lvlText w:val="•"/>
      <w:lvlJc w:val="left"/>
      <w:pPr>
        <w:tabs>
          <w:tab w:val="num" w:pos="5760"/>
        </w:tabs>
        <w:ind w:left="5760" w:hanging="360"/>
      </w:pPr>
      <w:rPr>
        <w:rFonts w:ascii="Arial" w:hAnsi="Arial" w:hint="default"/>
      </w:rPr>
    </w:lvl>
    <w:lvl w:ilvl="8" w:tplc="474ECF9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A347D9"/>
    <w:multiLevelType w:val="hybridMultilevel"/>
    <w:tmpl w:val="30045AC8"/>
    <w:lvl w:ilvl="0" w:tplc="08090019">
      <w:start w:val="1"/>
      <w:numFmt w:val="lowerLetter"/>
      <w:lvlText w:val="%1."/>
      <w:lvlJc w:val="left"/>
      <w:pPr>
        <w:ind w:left="1440" w:hanging="360"/>
      </w:pPr>
    </w:lvl>
    <w:lvl w:ilvl="1" w:tplc="12F0054A">
      <w:start w:val="1"/>
      <w:numFmt w:val="decimal"/>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9" w15:restartNumberingAfterBreak="0">
    <w:nsid w:val="74831E35"/>
    <w:multiLevelType w:val="hybridMultilevel"/>
    <w:tmpl w:val="344220C6"/>
    <w:lvl w:ilvl="0" w:tplc="08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F80632"/>
    <w:multiLevelType w:val="hybridMultilevel"/>
    <w:tmpl w:val="B14C480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A6A02E1"/>
    <w:multiLevelType w:val="hybridMultilevel"/>
    <w:tmpl w:val="FFFFFFFF"/>
    <w:lvl w:ilvl="0" w:tplc="3CC0E074">
      <w:start w:val="1"/>
      <w:numFmt w:val="bullet"/>
      <w:lvlText w:val=""/>
      <w:lvlJc w:val="left"/>
      <w:pPr>
        <w:ind w:left="720" w:hanging="360"/>
      </w:pPr>
      <w:rPr>
        <w:rFonts w:ascii="Symbol" w:hAnsi="Symbol" w:hint="default"/>
      </w:rPr>
    </w:lvl>
    <w:lvl w:ilvl="1" w:tplc="4ED0EEF8">
      <w:start w:val="1"/>
      <w:numFmt w:val="bullet"/>
      <w:lvlText w:val="o"/>
      <w:lvlJc w:val="left"/>
      <w:pPr>
        <w:ind w:left="1440" w:hanging="360"/>
      </w:pPr>
      <w:rPr>
        <w:rFonts w:ascii="Courier New" w:hAnsi="Courier New" w:hint="default"/>
      </w:rPr>
    </w:lvl>
    <w:lvl w:ilvl="2" w:tplc="48789108">
      <w:start w:val="1"/>
      <w:numFmt w:val="bullet"/>
      <w:lvlText w:val=""/>
      <w:lvlJc w:val="left"/>
      <w:pPr>
        <w:ind w:left="2160" w:hanging="360"/>
      </w:pPr>
      <w:rPr>
        <w:rFonts w:ascii="Wingdings" w:hAnsi="Wingdings" w:hint="default"/>
      </w:rPr>
    </w:lvl>
    <w:lvl w:ilvl="3" w:tplc="57FE0058">
      <w:start w:val="1"/>
      <w:numFmt w:val="bullet"/>
      <w:lvlText w:val=""/>
      <w:lvlJc w:val="left"/>
      <w:pPr>
        <w:ind w:left="2880" w:hanging="360"/>
      </w:pPr>
      <w:rPr>
        <w:rFonts w:ascii="Symbol" w:hAnsi="Symbol" w:hint="default"/>
      </w:rPr>
    </w:lvl>
    <w:lvl w:ilvl="4" w:tplc="7BEA1E76">
      <w:start w:val="1"/>
      <w:numFmt w:val="bullet"/>
      <w:lvlText w:val="o"/>
      <w:lvlJc w:val="left"/>
      <w:pPr>
        <w:ind w:left="3600" w:hanging="360"/>
      </w:pPr>
      <w:rPr>
        <w:rFonts w:ascii="Courier New" w:hAnsi="Courier New" w:hint="default"/>
      </w:rPr>
    </w:lvl>
    <w:lvl w:ilvl="5" w:tplc="0074CDF2">
      <w:start w:val="1"/>
      <w:numFmt w:val="bullet"/>
      <w:lvlText w:val=""/>
      <w:lvlJc w:val="left"/>
      <w:pPr>
        <w:ind w:left="4320" w:hanging="360"/>
      </w:pPr>
      <w:rPr>
        <w:rFonts w:ascii="Wingdings" w:hAnsi="Wingdings" w:hint="default"/>
      </w:rPr>
    </w:lvl>
    <w:lvl w:ilvl="6" w:tplc="35705CB2">
      <w:start w:val="1"/>
      <w:numFmt w:val="bullet"/>
      <w:lvlText w:val=""/>
      <w:lvlJc w:val="left"/>
      <w:pPr>
        <w:ind w:left="5040" w:hanging="360"/>
      </w:pPr>
      <w:rPr>
        <w:rFonts w:ascii="Symbol" w:hAnsi="Symbol" w:hint="default"/>
      </w:rPr>
    </w:lvl>
    <w:lvl w:ilvl="7" w:tplc="9A10ECC0">
      <w:start w:val="1"/>
      <w:numFmt w:val="bullet"/>
      <w:lvlText w:val="o"/>
      <w:lvlJc w:val="left"/>
      <w:pPr>
        <w:ind w:left="5760" w:hanging="360"/>
      </w:pPr>
      <w:rPr>
        <w:rFonts w:ascii="Courier New" w:hAnsi="Courier New" w:hint="default"/>
      </w:rPr>
    </w:lvl>
    <w:lvl w:ilvl="8" w:tplc="27FAFD00">
      <w:start w:val="1"/>
      <w:numFmt w:val="bullet"/>
      <w:lvlText w:val=""/>
      <w:lvlJc w:val="left"/>
      <w:pPr>
        <w:ind w:left="6480" w:hanging="360"/>
      </w:pPr>
      <w:rPr>
        <w:rFonts w:ascii="Wingdings" w:hAnsi="Wingdings" w:hint="default"/>
      </w:rPr>
    </w:lvl>
  </w:abstractNum>
  <w:num w:numId="1" w16cid:durableId="1417895088">
    <w:abstractNumId w:val="6"/>
  </w:num>
  <w:num w:numId="2" w16cid:durableId="1010135879">
    <w:abstractNumId w:val="1"/>
  </w:num>
  <w:num w:numId="3" w16cid:durableId="2119373737">
    <w:abstractNumId w:val="0"/>
  </w:num>
  <w:num w:numId="4" w16cid:durableId="1185485184">
    <w:abstractNumId w:val="42"/>
  </w:num>
  <w:num w:numId="5" w16cid:durableId="1892378375">
    <w:abstractNumId w:val="40"/>
  </w:num>
  <w:num w:numId="6" w16cid:durableId="473063202">
    <w:abstractNumId w:val="35"/>
  </w:num>
  <w:num w:numId="7" w16cid:durableId="1788772123">
    <w:abstractNumId w:val="9"/>
  </w:num>
  <w:num w:numId="8" w16cid:durableId="2078547744">
    <w:abstractNumId w:val="22"/>
  </w:num>
  <w:num w:numId="9" w16cid:durableId="1875731369">
    <w:abstractNumId w:val="20"/>
  </w:num>
  <w:num w:numId="10" w16cid:durableId="913931558">
    <w:abstractNumId w:val="38"/>
  </w:num>
  <w:num w:numId="11" w16cid:durableId="1375035328">
    <w:abstractNumId w:val="14"/>
  </w:num>
  <w:num w:numId="12" w16cid:durableId="1641958186">
    <w:abstractNumId w:val="10"/>
  </w:num>
  <w:num w:numId="13" w16cid:durableId="254753416">
    <w:abstractNumId w:val="32"/>
  </w:num>
  <w:num w:numId="14" w16cid:durableId="578371678">
    <w:abstractNumId w:val="11"/>
  </w:num>
  <w:num w:numId="15" w16cid:durableId="1202552481">
    <w:abstractNumId w:val="7"/>
  </w:num>
  <w:num w:numId="16" w16cid:durableId="1490907720">
    <w:abstractNumId w:val="24"/>
  </w:num>
  <w:num w:numId="17" w16cid:durableId="1351833704">
    <w:abstractNumId w:val="31"/>
  </w:num>
  <w:num w:numId="18" w16cid:durableId="1668285918">
    <w:abstractNumId w:val="25"/>
  </w:num>
  <w:num w:numId="19" w16cid:durableId="658117296">
    <w:abstractNumId w:val="30"/>
  </w:num>
  <w:num w:numId="20" w16cid:durableId="1078289886">
    <w:abstractNumId w:val="19"/>
  </w:num>
  <w:num w:numId="21" w16cid:durableId="1008170282">
    <w:abstractNumId w:val="27"/>
  </w:num>
  <w:num w:numId="22" w16cid:durableId="442724730">
    <w:abstractNumId w:val="8"/>
  </w:num>
  <w:num w:numId="23" w16cid:durableId="21117719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5879654">
    <w:abstractNumId w:val="43"/>
  </w:num>
  <w:num w:numId="25" w16cid:durableId="1462771355">
    <w:abstractNumId w:val="26"/>
  </w:num>
  <w:num w:numId="26" w16cid:durableId="751315528">
    <w:abstractNumId w:val="5"/>
  </w:num>
  <w:num w:numId="27" w16cid:durableId="437025015">
    <w:abstractNumId w:val="15"/>
  </w:num>
  <w:num w:numId="28" w16cid:durableId="1334576266">
    <w:abstractNumId w:val="37"/>
  </w:num>
  <w:num w:numId="29" w16cid:durableId="1624070403">
    <w:abstractNumId w:val="3"/>
  </w:num>
  <w:num w:numId="30" w16cid:durableId="980304812">
    <w:abstractNumId w:val="29"/>
  </w:num>
  <w:num w:numId="31" w16cid:durableId="2130077332">
    <w:abstractNumId w:val="28"/>
  </w:num>
  <w:num w:numId="32" w16cid:durableId="439835396">
    <w:abstractNumId w:val="16"/>
  </w:num>
  <w:num w:numId="33" w16cid:durableId="426926557">
    <w:abstractNumId w:val="34"/>
  </w:num>
  <w:num w:numId="34" w16cid:durableId="989216633">
    <w:abstractNumId w:val="13"/>
  </w:num>
  <w:num w:numId="35" w16cid:durableId="1076316255">
    <w:abstractNumId w:val="39"/>
  </w:num>
  <w:num w:numId="36" w16cid:durableId="319163138">
    <w:abstractNumId w:val="4"/>
  </w:num>
  <w:num w:numId="37" w16cid:durableId="729962442">
    <w:abstractNumId w:val="2"/>
  </w:num>
  <w:num w:numId="38" w16cid:durableId="1149790057">
    <w:abstractNumId w:val="41"/>
  </w:num>
  <w:num w:numId="39" w16cid:durableId="1480075116">
    <w:abstractNumId w:val="36"/>
  </w:num>
  <w:num w:numId="40" w16cid:durableId="1511918825">
    <w:abstractNumId w:val="23"/>
  </w:num>
  <w:num w:numId="41" w16cid:durableId="1241719546">
    <w:abstractNumId w:val="17"/>
  </w:num>
  <w:num w:numId="42" w16cid:durableId="371805477">
    <w:abstractNumId w:val="21"/>
  </w:num>
  <w:num w:numId="43" w16cid:durableId="1398165368">
    <w:abstractNumId w:val="12"/>
  </w:num>
  <w:num w:numId="44" w16cid:durableId="1872843037">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C7B"/>
    <w:rsid w:val="00000027"/>
    <w:rsid w:val="00000FE4"/>
    <w:rsid w:val="00001526"/>
    <w:rsid w:val="000026E4"/>
    <w:rsid w:val="00003781"/>
    <w:rsid w:val="000047E9"/>
    <w:rsid w:val="000073EF"/>
    <w:rsid w:val="00010942"/>
    <w:rsid w:val="00011EBC"/>
    <w:rsid w:val="000122D6"/>
    <w:rsid w:val="00015B53"/>
    <w:rsid w:val="00020E18"/>
    <w:rsid w:val="0002106A"/>
    <w:rsid w:val="00022364"/>
    <w:rsid w:val="000230D6"/>
    <w:rsid w:val="00024450"/>
    <w:rsid w:val="0002479F"/>
    <w:rsid w:val="00024D58"/>
    <w:rsid w:val="00025A6B"/>
    <w:rsid w:val="00025CC0"/>
    <w:rsid w:val="000308A5"/>
    <w:rsid w:val="000309C1"/>
    <w:rsid w:val="00030B63"/>
    <w:rsid w:val="00030F7B"/>
    <w:rsid w:val="0003116A"/>
    <w:rsid w:val="00031DF8"/>
    <w:rsid w:val="00032F19"/>
    <w:rsid w:val="00034E18"/>
    <w:rsid w:val="00035160"/>
    <w:rsid w:val="00040C41"/>
    <w:rsid w:val="00047C6D"/>
    <w:rsid w:val="00054A55"/>
    <w:rsid w:val="00055192"/>
    <w:rsid w:val="00057144"/>
    <w:rsid w:val="00057458"/>
    <w:rsid w:val="00060FF2"/>
    <w:rsid w:val="00061FFE"/>
    <w:rsid w:val="00064EC4"/>
    <w:rsid w:val="00064EF7"/>
    <w:rsid w:val="00066720"/>
    <w:rsid w:val="000677F2"/>
    <w:rsid w:val="00070349"/>
    <w:rsid w:val="00073ABC"/>
    <w:rsid w:val="00073EED"/>
    <w:rsid w:val="000752B3"/>
    <w:rsid w:val="00075319"/>
    <w:rsid w:val="00080125"/>
    <w:rsid w:val="000826E2"/>
    <w:rsid w:val="00082A27"/>
    <w:rsid w:val="00083A22"/>
    <w:rsid w:val="00083A54"/>
    <w:rsid w:val="00084484"/>
    <w:rsid w:val="00084A67"/>
    <w:rsid w:val="00086383"/>
    <w:rsid w:val="00086DFF"/>
    <w:rsid w:val="00086E20"/>
    <w:rsid w:val="000873B8"/>
    <w:rsid w:val="0009025C"/>
    <w:rsid w:val="0009242B"/>
    <w:rsid w:val="00093039"/>
    <w:rsid w:val="0009405E"/>
    <w:rsid w:val="00095327"/>
    <w:rsid w:val="00096D51"/>
    <w:rsid w:val="000974BA"/>
    <w:rsid w:val="000A0C3C"/>
    <w:rsid w:val="000A22A8"/>
    <w:rsid w:val="000A3DC4"/>
    <w:rsid w:val="000A50C0"/>
    <w:rsid w:val="000A59B1"/>
    <w:rsid w:val="000A66E7"/>
    <w:rsid w:val="000B275F"/>
    <w:rsid w:val="000B372F"/>
    <w:rsid w:val="000B444F"/>
    <w:rsid w:val="000B544A"/>
    <w:rsid w:val="000B55A0"/>
    <w:rsid w:val="000B73C7"/>
    <w:rsid w:val="000C3517"/>
    <w:rsid w:val="000C51C5"/>
    <w:rsid w:val="000C6D34"/>
    <w:rsid w:val="000D0F76"/>
    <w:rsid w:val="000D77E7"/>
    <w:rsid w:val="000E03D4"/>
    <w:rsid w:val="000E427B"/>
    <w:rsid w:val="000E4696"/>
    <w:rsid w:val="000E511D"/>
    <w:rsid w:val="000E5861"/>
    <w:rsid w:val="000E6680"/>
    <w:rsid w:val="000F032B"/>
    <w:rsid w:val="000F2D6D"/>
    <w:rsid w:val="000F3B7A"/>
    <w:rsid w:val="000F6BB2"/>
    <w:rsid w:val="00100B8C"/>
    <w:rsid w:val="001020F5"/>
    <w:rsid w:val="00106EBB"/>
    <w:rsid w:val="001075C5"/>
    <w:rsid w:val="00107B02"/>
    <w:rsid w:val="00107D19"/>
    <w:rsid w:val="00110C9D"/>
    <w:rsid w:val="001158AA"/>
    <w:rsid w:val="00116EE9"/>
    <w:rsid w:val="001204F8"/>
    <w:rsid w:val="00123610"/>
    <w:rsid w:val="00123887"/>
    <w:rsid w:val="00123B34"/>
    <w:rsid w:val="001240AB"/>
    <w:rsid w:val="0012737F"/>
    <w:rsid w:val="00130C51"/>
    <w:rsid w:val="00132B0E"/>
    <w:rsid w:val="00133174"/>
    <w:rsid w:val="00134F6F"/>
    <w:rsid w:val="001351C8"/>
    <w:rsid w:val="00137415"/>
    <w:rsid w:val="001407A1"/>
    <w:rsid w:val="00140819"/>
    <w:rsid w:val="00140992"/>
    <w:rsid w:val="00141448"/>
    <w:rsid w:val="00142EBB"/>
    <w:rsid w:val="00143C39"/>
    <w:rsid w:val="00143CB6"/>
    <w:rsid w:val="00146B00"/>
    <w:rsid w:val="00147345"/>
    <w:rsid w:val="00147B96"/>
    <w:rsid w:val="00147E1A"/>
    <w:rsid w:val="001503B7"/>
    <w:rsid w:val="00150605"/>
    <w:rsid w:val="00150F67"/>
    <w:rsid w:val="0015186A"/>
    <w:rsid w:val="00155E3D"/>
    <w:rsid w:val="00157986"/>
    <w:rsid w:val="00160F6F"/>
    <w:rsid w:val="001620F3"/>
    <w:rsid w:val="001637A9"/>
    <w:rsid w:val="00163B09"/>
    <w:rsid w:val="00164E98"/>
    <w:rsid w:val="001662AC"/>
    <w:rsid w:val="00166FF8"/>
    <w:rsid w:val="0017040E"/>
    <w:rsid w:val="001705B1"/>
    <w:rsid w:val="00171B9F"/>
    <w:rsid w:val="00172AD0"/>
    <w:rsid w:val="00173458"/>
    <w:rsid w:val="00174592"/>
    <w:rsid w:val="001746CF"/>
    <w:rsid w:val="00174B3D"/>
    <w:rsid w:val="00174DBE"/>
    <w:rsid w:val="00175128"/>
    <w:rsid w:val="00175B75"/>
    <w:rsid w:val="00176CB5"/>
    <w:rsid w:val="0018140B"/>
    <w:rsid w:val="00181412"/>
    <w:rsid w:val="00181EC3"/>
    <w:rsid w:val="00182651"/>
    <w:rsid w:val="00183A34"/>
    <w:rsid w:val="00185D52"/>
    <w:rsid w:val="00190AFB"/>
    <w:rsid w:val="0019265B"/>
    <w:rsid w:val="001938D2"/>
    <w:rsid w:val="00197F8C"/>
    <w:rsid w:val="001A2415"/>
    <w:rsid w:val="001A28B8"/>
    <w:rsid w:val="001A3CD7"/>
    <w:rsid w:val="001A6566"/>
    <w:rsid w:val="001A66A3"/>
    <w:rsid w:val="001B08F2"/>
    <w:rsid w:val="001B0DCF"/>
    <w:rsid w:val="001B2486"/>
    <w:rsid w:val="001B380B"/>
    <w:rsid w:val="001B4064"/>
    <w:rsid w:val="001C106A"/>
    <w:rsid w:val="001C2040"/>
    <w:rsid w:val="001C4D75"/>
    <w:rsid w:val="001C7AA0"/>
    <w:rsid w:val="001D0F42"/>
    <w:rsid w:val="001D2D05"/>
    <w:rsid w:val="001D618C"/>
    <w:rsid w:val="001D6527"/>
    <w:rsid w:val="001D6BB3"/>
    <w:rsid w:val="001D6E0A"/>
    <w:rsid w:val="001E1BC9"/>
    <w:rsid w:val="001E2C20"/>
    <w:rsid w:val="001E4DC8"/>
    <w:rsid w:val="001E6DD5"/>
    <w:rsid w:val="001E7877"/>
    <w:rsid w:val="001F0CA9"/>
    <w:rsid w:val="001F0D2E"/>
    <w:rsid w:val="001F1036"/>
    <w:rsid w:val="001F20D3"/>
    <w:rsid w:val="001F2C21"/>
    <w:rsid w:val="001F364E"/>
    <w:rsid w:val="001F59CC"/>
    <w:rsid w:val="001F5D84"/>
    <w:rsid w:val="001F7636"/>
    <w:rsid w:val="00200570"/>
    <w:rsid w:val="002011E0"/>
    <w:rsid w:val="00201A0F"/>
    <w:rsid w:val="00202026"/>
    <w:rsid w:val="002029CD"/>
    <w:rsid w:val="00202B75"/>
    <w:rsid w:val="00202BA0"/>
    <w:rsid w:val="00203672"/>
    <w:rsid w:val="00203767"/>
    <w:rsid w:val="00205CAA"/>
    <w:rsid w:val="00205DBE"/>
    <w:rsid w:val="002075C8"/>
    <w:rsid w:val="002112E5"/>
    <w:rsid w:val="002114DE"/>
    <w:rsid w:val="00214A35"/>
    <w:rsid w:val="00215C07"/>
    <w:rsid w:val="00216EB8"/>
    <w:rsid w:val="0021724A"/>
    <w:rsid w:val="0022107E"/>
    <w:rsid w:val="00222E7A"/>
    <w:rsid w:val="00223227"/>
    <w:rsid w:val="00224565"/>
    <w:rsid w:val="002267EA"/>
    <w:rsid w:val="00230018"/>
    <w:rsid w:val="00230231"/>
    <w:rsid w:val="00230788"/>
    <w:rsid w:val="00233315"/>
    <w:rsid w:val="002409DB"/>
    <w:rsid w:val="00241BE6"/>
    <w:rsid w:val="00241C6C"/>
    <w:rsid w:val="00242395"/>
    <w:rsid w:val="00242AFE"/>
    <w:rsid w:val="00245F0B"/>
    <w:rsid w:val="0024762B"/>
    <w:rsid w:val="00250CE9"/>
    <w:rsid w:val="00251E3E"/>
    <w:rsid w:val="00252109"/>
    <w:rsid w:val="002541C6"/>
    <w:rsid w:val="0026115F"/>
    <w:rsid w:val="00264766"/>
    <w:rsid w:val="00271374"/>
    <w:rsid w:val="002740AF"/>
    <w:rsid w:val="002822AD"/>
    <w:rsid w:val="00284E9C"/>
    <w:rsid w:val="00285307"/>
    <w:rsid w:val="00286274"/>
    <w:rsid w:val="00291430"/>
    <w:rsid w:val="00292026"/>
    <w:rsid w:val="002925FC"/>
    <w:rsid w:val="002940CA"/>
    <w:rsid w:val="00294B3E"/>
    <w:rsid w:val="00294DC3"/>
    <w:rsid w:val="00296842"/>
    <w:rsid w:val="0029687B"/>
    <w:rsid w:val="0029696A"/>
    <w:rsid w:val="002972C7"/>
    <w:rsid w:val="00297477"/>
    <w:rsid w:val="002A2EEC"/>
    <w:rsid w:val="002A34AA"/>
    <w:rsid w:val="002A3BDB"/>
    <w:rsid w:val="002A4121"/>
    <w:rsid w:val="002A5336"/>
    <w:rsid w:val="002A58EC"/>
    <w:rsid w:val="002A7C22"/>
    <w:rsid w:val="002B019F"/>
    <w:rsid w:val="002B3050"/>
    <w:rsid w:val="002B60F1"/>
    <w:rsid w:val="002C017D"/>
    <w:rsid w:val="002C23F3"/>
    <w:rsid w:val="002C2B2C"/>
    <w:rsid w:val="002C2DDE"/>
    <w:rsid w:val="002C421D"/>
    <w:rsid w:val="002C7216"/>
    <w:rsid w:val="002D0467"/>
    <w:rsid w:val="002D224E"/>
    <w:rsid w:val="002D26A8"/>
    <w:rsid w:val="002D3798"/>
    <w:rsid w:val="002D4142"/>
    <w:rsid w:val="002D4278"/>
    <w:rsid w:val="002D4B12"/>
    <w:rsid w:val="002D5682"/>
    <w:rsid w:val="002D7017"/>
    <w:rsid w:val="002D7107"/>
    <w:rsid w:val="002E2418"/>
    <w:rsid w:val="002E359B"/>
    <w:rsid w:val="002E6A07"/>
    <w:rsid w:val="002E71AB"/>
    <w:rsid w:val="002F05E3"/>
    <w:rsid w:val="002F20D2"/>
    <w:rsid w:val="002F4893"/>
    <w:rsid w:val="002F4A2C"/>
    <w:rsid w:val="002F6D2B"/>
    <w:rsid w:val="002F7436"/>
    <w:rsid w:val="003024F9"/>
    <w:rsid w:val="00302B10"/>
    <w:rsid w:val="003031BB"/>
    <w:rsid w:val="00304913"/>
    <w:rsid w:val="00306268"/>
    <w:rsid w:val="00307159"/>
    <w:rsid w:val="00311A91"/>
    <w:rsid w:val="00312554"/>
    <w:rsid w:val="0031651C"/>
    <w:rsid w:val="00316B88"/>
    <w:rsid w:val="00316F5F"/>
    <w:rsid w:val="00317666"/>
    <w:rsid w:val="00317F59"/>
    <w:rsid w:val="00324F54"/>
    <w:rsid w:val="00326C93"/>
    <w:rsid w:val="00330F51"/>
    <w:rsid w:val="0033116B"/>
    <w:rsid w:val="00331F5D"/>
    <w:rsid w:val="00334F27"/>
    <w:rsid w:val="00335FE1"/>
    <w:rsid w:val="00336DBF"/>
    <w:rsid w:val="00341B4B"/>
    <w:rsid w:val="00342BC3"/>
    <w:rsid w:val="00343B54"/>
    <w:rsid w:val="00344194"/>
    <w:rsid w:val="003447BB"/>
    <w:rsid w:val="00345D48"/>
    <w:rsid w:val="00346748"/>
    <w:rsid w:val="00346F1F"/>
    <w:rsid w:val="00347FF8"/>
    <w:rsid w:val="003528ED"/>
    <w:rsid w:val="00355875"/>
    <w:rsid w:val="003566EC"/>
    <w:rsid w:val="003615EC"/>
    <w:rsid w:val="003621BC"/>
    <w:rsid w:val="003642F0"/>
    <w:rsid w:val="00364812"/>
    <w:rsid w:val="00364F55"/>
    <w:rsid w:val="00366D0F"/>
    <w:rsid w:val="0036776D"/>
    <w:rsid w:val="0037018B"/>
    <w:rsid w:val="00370B1C"/>
    <w:rsid w:val="003730E6"/>
    <w:rsid w:val="0037365B"/>
    <w:rsid w:val="00373F77"/>
    <w:rsid w:val="00374C3E"/>
    <w:rsid w:val="003758F7"/>
    <w:rsid w:val="00375D21"/>
    <w:rsid w:val="00376B26"/>
    <w:rsid w:val="00376D70"/>
    <w:rsid w:val="003770E1"/>
    <w:rsid w:val="00377B02"/>
    <w:rsid w:val="00380273"/>
    <w:rsid w:val="003821B0"/>
    <w:rsid w:val="00382343"/>
    <w:rsid w:val="00390AFA"/>
    <w:rsid w:val="00391B9A"/>
    <w:rsid w:val="00393106"/>
    <w:rsid w:val="0039341C"/>
    <w:rsid w:val="00394BA0"/>
    <w:rsid w:val="003951DF"/>
    <w:rsid w:val="00395896"/>
    <w:rsid w:val="00396213"/>
    <w:rsid w:val="0039656E"/>
    <w:rsid w:val="00397404"/>
    <w:rsid w:val="003A013B"/>
    <w:rsid w:val="003A17D3"/>
    <w:rsid w:val="003A4AFA"/>
    <w:rsid w:val="003A4D83"/>
    <w:rsid w:val="003A52BB"/>
    <w:rsid w:val="003A636D"/>
    <w:rsid w:val="003A6A20"/>
    <w:rsid w:val="003B169A"/>
    <w:rsid w:val="003B29E9"/>
    <w:rsid w:val="003B31F1"/>
    <w:rsid w:val="003B45D7"/>
    <w:rsid w:val="003B592E"/>
    <w:rsid w:val="003B7B14"/>
    <w:rsid w:val="003C0EFB"/>
    <w:rsid w:val="003C22EF"/>
    <w:rsid w:val="003C505F"/>
    <w:rsid w:val="003C5CB1"/>
    <w:rsid w:val="003C6090"/>
    <w:rsid w:val="003C66BD"/>
    <w:rsid w:val="003C7661"/>
    <w:rsid w:val="003D03D4"/>
    <w:rsid w:val="003D0D60"/>
    <w:rsid w:val="003D4126"/>
    <w:rsid w:val="003D4420"/>
    <w:rsid w:val="003D5122"/>
    <w:rsid w:val="003D585D"/>
    <w:rsid w:val="003D72A8"/>
    <w:rsid w:val="003D7C04"/>
    <w:rsid w:val="003D7E92"/>
    <w:rsid w:val="003E33AF"/>
    <w:rsid w:val="003E3B7F"/>
    <w:rsid w:val="003E3FE2"/>
    <w:rsid w:val="003E704E"/>
    <w:rsid w:val="003E7572"/>
    <w:rsid w:val="003E78EF"/>
    <w:rsid w:val="003E79E3"/>
    <w:rsid w:val="003F2F56"/>
    <w:rsid w:val="003F3CDD"/>
    <w:rsid w:val="003F48A9"/>
    <w:rsid w:val="003F5478"/>
    <w:rsid w:val="003F6959"/>
    <w:rsid w:val="00401482"/>
    <w:rsid w:val="00404D66"/>
    <w:rsid w:val="00404FC4"/>
    <w:rsid w:val="004064B5"/>
    <w:rsid w:val="004067A1"/>
    <w:rsid w:val="00407AE0"/>
    <w:rsid w:val="00412495"/>
    <w:rsid w:val="00412673"/>
    <w:rsid w:val="0041403E"/>
    <w:rsid w:val="00414601"/>
    <w:rsid w:val="004155A8"/>
    <w:rsid w:val="004161FF"/>
    <w:rsid w:val="00417E1E"/>
    <w:rsid w:val="00422C85"/>
    <w:rsid w:val="0042313C"/>
    <w:rsid w:val="004244BD"/>
    <w:rsid w:val="00427EB5"/>
    <w:rsid w:val="004310AF"/>
    <w:rsid w:val="004323B3"/>
    <w:rsid w:val="00432DD7"/>
    <w:rsid w:val="00434BF6"/>
    <w:rsid w:val="004358BE"/>
    <w:rsid w:val="00435CED"/>
    <w:rsid w:val="0043615F"/>
    <w:rsid w:val="004369D1"/>
    <w:rsid w:val="00437F65"/>
    <w:rsid w:val="0044203D"/>
    <w:rsid w:val="00442215"/>
    <w:rsid w:val="00443069"/>
    <w:rsid w:val="004433EC"/>
    <w:rsid w:val="00443EC4"/>
    <w:rsid w:val="004444CD"/>
    <w:rsid w:val="0044595A"/>
    <w:rsid w:val="0044627B"/>
    <w:rsid w:val="00446814"/>
    <w:rsid w:val="004479AD"/>
    <w:rsid w:val="00450257"/>
    <w:rsid w:val="004524C1"/>
    <w:rsid w:val="0045387D"/>
    <w:rsid w:val="00453A52"/>
    <w:rsid w:val="00454A42"/>
    <w:rsid w:val="00455FF0"/>
    <w:rsid w:val="0045643C"/>
    <w:rsid w:val="0045CD47"/>
    <w:rsid w:val="004635F4"/>
    <w:rsid w:val="00465CA1"/>
    <w:rsid w:val="00467D35"/>
    <w:rsid w:val="004701BE"/>
    <w:rsid w:val="004765FC"/>
    <w:rsid w:val="004769D1"/>
    <w:rsid w:val="0048155C"/>
    <w:rsid w:val="00481B81"/>
    <w:rsid w:val="00481B9C"/>
    <w:rsid w:val="0048529C"/>
    <w:rsid w:val="00485C05"/>
    <w:rsid w:val="00486CA2"/>
    <w:rsid w:val="00486D81"/>
    <w:rsid w:val="0049017D"/>
    <w:rsid w:val="00490AB9"/>
    <w:rsid w:val="00490C29"/>
    <w:rsid w:val="0049111B"/>
    <w:rsid w:val="00493DD2"/>
    <w:rsid w:val="00493DDE"/>
    <w:rsid w:val="004958B5"/>
    <w:rsid w:val="004963CD"/>
    <w:rsid w:val="00496773"/>
    <w:rsid w:val="004975A9"/>
    <w:rsid w:val="004977D9"/>
    <w:rsid w:val="004A082E"/>
    <w:rsid w:val="004A0E03"/>
    <w:rsid w:val="004A17F0"/>
    <w:rsid w:val="004A24B1"/>
    <w:rsid w:val="004A3BCD"/>
    <w:rsid w:val="004A3CEB"/>
    <w:rsid w:val="004A6709"/>
    <w:rsid w:val="004A6F05"/>
    <w:rsid w:val="004B0420"/>
    <w:rsid w:val="004B2B84"/>
    <w:rsid w:val="004B2D0E"/>
    <w:rsid w:val="004B32C6"/>
    <w:rsid w:val="004B72B4"/>
    <w:rsid w:val="004C102B"/>
    <w:rsid w:val="004C21EC"/>
    <w:rsid w:val="004C255E"/>
    <w:rsid w:val="004D0674"/>
    <w:rsid w:val="004D525B"/>
    <w:rsid w:val="004D525F"/>
    <w:rsid w:val="004D603A"/>
    <w:rsid w:val="004D7172"/>
    <w:rsid w:val="004E02F4"/>
    <w:rsid w:val="004E1674"/>
    <w:rsid w:val="004E3639"/>
    <w:rsid w:val="004E46FA"/>
    <w:rsid w:val="004E52A6"/>
    <w:rsid w:val="004E5A44"/>
    <w:rsid w:val="004E6FED"/>
    <w:rsid w:val="004F231C"/>
    <w:rsid w:val="004F330D"/>
    <w:rsid w:val="004F3C2F"/>
    <w:rsid w:val="004F43B2"/>
    <w:rsid w:val="004F5A1E"/>
    <w:rsid w:val="004F5D44"/>
    <w:rsid w:val="004F7623"/>
    <w:rsid w:val="005005D0"/>
    <w:rsid w:val="00500EAF"/>
    <w:rsid w:val="0050198E"/>
    <w:rsid w:val="005029B5"/>
    <w:rsid w:val="0051138E"/>
    <w:rsid w:val="00511E7E"/>
    <w:rsid w:val="00514E35"/>
    <w:rsid w:val="00515C00"/>
    <w:rsid w:val="0052307A"/>
    <w:rsid w:val="00523BDE"/>
    <w:rsid w:val="00526A0B"/>
    <w:rsid w:val="005304AC"/>
    <w:rsid w:val="00530C8B"/>
    <w:rsid w:val="00531572"/>
    <w:rsid w:val="00533E44"/>
    <w:rsid w:val="00534836"/>
    <w:rsid w:val="00537263"/>
    <w:rsid w:val="00540C11"/>
    <w:rsid w:val="00542C96"/>
    <w:rsid w:val="00543A6E"/>
    <w:rsid w:val="00545D95"/>
    <w:rsid w:val="005466FE"/>
    <w:rsid w:val="00557D4E"/>
    <w:rsid w:val="005627B9"/>
    <w:rsid w:val="00574FFC"/>
    <w:rsid w:val="00576088"/>
    <w:rsid w:val="00576C22"/>
    <w:rsid w:val="0057705D"/>
    <w:rsid w:val="00581612"/>
    <w:rsid w:val="0058287B"/>
    <w:rsid w:val="00583881"/>
    <w:rsid w:val="005838EB"/>
    <w:rsid w:val="00584453"/>
    <w:rsid w:val="00585344"/>
    <w:rsid w:val="00586868"/>
    <w:rsid w:val="005906DE"/>
    <w:rsid w:val="005947EC"/>
    <w:rsid w:val="00595649"/>
    <w:rsid w:val="00595E8E"/>
    <w:rsid w:val="00596780"/>
    <w:rsid w:val="005975F6"/>
    <w:rsid w:val="00597B7A"/>
    <w:rsid w:val="00597E70"/>
    <w:rsid w:val="005A0075"/>
    <w:rsid w:val="005A0162"/>
    <w:rsid w:val="005A10AE"/>
    <w:rsid w:val="005A149D"/>
    <w:rsid w:val="005A24EB"/>
    <w:rsid w:val="005A27CE"/>
    <w:rsid w:val="005A3CFA"/>
    <w:rsid w:val="005A650A"/>
    <w:rsid w:val="005B29DD"/>
    <w:rsid w:val="005B3A0F"/>
    <w:rsid w:val="005B3A2D"/>
    <w:rsid w:val="005B7777"/>
    <w:rsid w:val="005C0B18"/>
    <w:rsid w:val="005C22CA"/>
    <w:rsid w:val="005C2D0A"/>
    <w:rsid w:val="005C3828"/>
    <w:rsid w:val="005C40CB"/>
    <w:rsid w:val="005C47D3"/>
    <w:rsid w:val="005C5F37"/>
    <w:rsid w:val="005C6A01"/>
    <w:rsid w:val="005C73AC"/>
    <w:rsid w:val="005C9299"/>
    <w:rsid w:val="005D1BFB"/>
    <w:rsid w:val="005D54F7"/>
    <w:rsid w:val="005D5FB0"/>
    <w:rsid w:val="005D6793"/>
    <w:rsid w:val="005D6961"/>
    <w:rsid w:val="005E23E1"/>
    <w:rsid w:val="005E2DB6"/>
    <w:rsid w:val="005E365E"/>
    <w:rsid w:val="005E7190"/>
    <w:rsid w:val="005E79A6"/>
    <w:rsid w:val="005F0AC5"/>
    <w:rsid w:val="005F1A74"/>
    <w:rsid w:val="005F40C0"/>
    <w:rsid w:val="005F43B9"/>
    <w:rsid w:val="005F4B0C"/>
    <w:rsid w:val="005F5ABC"/>
    <w:rsid w:val="005F646F"/>
    <w:rsid w:val="00602765"/>
    <w:rsid w:val="006029F8"/>
    <w:rsid w:val="00603F85"/>
    <w:rsid w:val="0060467E"/>
    <w:rsid w:val="00605F14"/>
    <w:rsid w:val="00606473"/>
    <w:rsid w:val="00607B5C"/>
    <w:rsid w:val="006123FB"/>
    <w:rsid w:val="00612D80"/>
    <w:rsid w:val="006146C6"/>
    <w:rsid w:val="006150B3"/>
    <w:rsid w:val="0061657C"/>
    <w:rsid w:val="00617640"/>
    <w:rsid w:val="00617DC2"/>
    <w:rsid w:val="0062297F"/>
    <w:rsid w:val="00622D2F"/>
    <w:rsid w:val="00623D66"/>
    <w:rsid w:val="00624B8B"/>
    <w:rsid w:val="00626AF7"/>
    <w:rsid w:val="00627330"/>
    <w:rsid w:val="006273F8"/>
    <w:rsid w:val="00627FB5"/>
    <w:rsid w:val="0062E4B3"/>
    <w:rsid w:val="006312FD"/>
    <w:rsid w:val="00633D9C"/>
    <w:rsid w:val="00633F09"/>
    <w:rsid w:val="00636C03"/>
    <w:rsid w:val="0064123B"/>
    <w:rsid w:val="006422A0"/>
    <w:rsid w:val="006426C1"/>
    <w:rsid w:val="00646CBF"/>
    <w:rsid w:val="00646D44"/>
    <w:rsid w:val="00646F53"/>
    <w:rsid w:val="006474C9"/>
    <w:rsid w:val="00651F1E"/>
    <w:rsid w:val="00652B8A"/>
    <w:rsid w:val="00653C2E"/>
    <w:rsid w:val="006544C5"/>
    <w:rsid w:val="0065586F"/>
    <w:rsid w:val="00664984"/>
    <w:rsid w:val="00666765"/>
    <w:rsid w:val="00667A1A"/>
    <w:rsid w:val="00667D69"/>
    <w:rsid w:val="00670B00"/>
    <w:rsid w:val="006717A8"/>
    <w:rsid w:val="00673640"/>
    <w:rsid w:val="00673FB1"/>
    <w:rsid w:val="0067725E"/>
    <w:rsid w:val="00677281"/>
    <w:rsid w:val="00677CF7"/>
    <w:rsid w:val="0068150E"/>
    <w:rsid w:val="00686F66"/>
    <w:rsid w:val="00687229"/>
    <w:rsid w:val="006923CF"/>
    <w:rsid w:val="00692571"/>
    <w:rsid w:val="00693227"/>
    <w:rsid w:val="006936FA"/>
    <w:rsid w:val="006971B9"/>
    <w:rsid w:val="0069778D"/>
    <w:rsid w:val="006A08F2"/>
    <w:rsid w:val="006A0D2E"/>
    <w:rsid w:val="006A0FE3"/>
    <w:rsid w:val="006A444F"/>
    <w:rsid w:val="006A5436"/>
    <w:rsid w:val="006B01C6"/>
    <w:rsid w:val="006B3EDD"/>
    <w:rsid w:val="006B77CE"/>
    <w:rsid w:val="006C1A0E"/>
    <w:rsid w:val="006C3162"/>
    <w:rsid w:val="006C3DB4"/>
    <w:rsid w:val="006C65A8"/>
    <w:rsid w:val="006D072A"/>
    <w:rsid w:val="006D38EB"/>
    <w:rsid w:val="006D6145"/>
    <w:rsid w:val="006D6E4A"/>
    <w:rsid w:val="006D75D7"/>
    <w:rsid w:val="006E4DEC"/>
    <w:rsid w:val="006F00CA"/>
    <w:rsid w:val="006F037A"/>
    <w:rsid w:val="006F1F75"/>
    <w:rsid w:val="006F6C01"/>
    <w:rsid w:val="00702E15"/>
    <w:rsid w:val="00703347"/>
    <w:rsid w:val="00704C82"/>
    <w:rsid w:val="00707E10"/>
    <w:rsid w:val="007140D6"/>
    <w:rsid w:val="00721A79"/>
    <w:rsid w:val="0072302F"/>
    <w:rsid w:val="00726FD0"/>
    <w:rsid w:val="00727345"/>
    <w:rsid w:val="007301BA"/>
    <w:rsid w:val="00731A68"/>
    <w:rsid w:val="007368E0"/>
    <w:rsid w:val="00737271"/>
    <w:rsid w:val="007436D5"/>
    <w:rsid w:val="00745A07"/>
    <w:rsid w:val="00746259"/>
    <w:rsid w:val="0074777A"/>
    <w:rsid w:val="007477E3"/>
    <w:rsid w:val="00747997"/>
    <w:rsid w:val="00747C7E"/>
    <w:rsid w:val="00751FF7"/>
    <w:rsid w:val="00752D51"/>
    <w:rsid w:val="007534AB"/>
    <w:rsid w:val="0075451A"/>
    <w:rsid w:val="0075453D"/>
    <w:rsid w:val="00755286"/>
    <w:rsid w:val="00756115"/>
    <w:rsid w:val="00757F9B"/>
    <w:rsid w:val="007608CC"/>
    <w:rsid w:val="00762F53"/>
    <w:rsid w:val="00764C8E"/>
    <w:rsid w:val="00765AA9"/>
    <w:rsid w:val="0077080E"/>
    <w:rsid w:val="00773496"/>
    <w:rsid w:val="0077400E"/>
    <w:rsid w:val="0078057C"/>
    <w:rsid w:val="0078104B"/>
    <w:rsid w:val="00781DE1"/>
    <w:rsid w:val="00782474"/>
    <w:rsid w:val="00782E59"/>
    <w:rsid w:val="00783A7B"/>
    <w:rsid w:val="00790A7C"/>
    <w:rsid w:val="007925FE"/>
    <w:rsid w:val="00792C4B"/>
    <w:rsid w:val="00793948"/>
    <w:rsid w:val="00793CCD"/>
    <w:rsid w:val="00793FF8"/>
    <w:rsid w:val="00794398"/>
    <w:rsid w:val="00795D11"/>
    <w:rsid w:val="00796C81"/>
    <w:rsid w:val="00797875"/>
    <w:rsid w:val="007A1B33"/>
    <w:rsid w:val="007A1D0B"/>
    <w:rsid w:val="007A374B"/>
    <w:rsid w:val="007A4417"/>
    <w:rsid w:val="007A5178"/>
    <w:rsid w:val="007A7228"/>
    <w:rsid w:val="007A75C5"/>
    <w:rsid w:val="007B103B"/>
    <w:rsid w:val="007B1164"/>
    <w:rsid w:val="007B2B00"/>
    <w:rsid w:val="007B453D"/>
    <w:rsid w:val="007B4917"/>
    <w:rsid w:val="007B4D68"/>
    <w:rsid w:val="007B7C64"/>
    <w:rsid w:val="007C1ADC"/>
    <w:rsid w:val="007C3FB3"/>
    <w:rsid w:val="007C552D"/>
    <w:rsid w:val="007C57CA"/>
    <w:rsid w:val="007C5CCC"/>
    <w:rsid w:val="007C6B1D"/>
    <w:rsid w:val="007D0C53"/>
    <w:rsid w:val="007D2093"/>
    <w:rsid w:val="007D585B"/>
    <w:rsid w:val="007D63AB"/>
    <w:rsid w:val="007D64D0"/>
    <w:rsid w:val="007D735F"/>
    <w:rsid w:val="007E0AE4"/>
    <w:rsid w:val="007E0B06"/>
    <w:rsid w:val="007E31B7"/>
    <w:rsid w:val="007E342A"/>
    <w:rsid w:val="007E38AB"/>
    <w:rsid w:val="007E49FC"/>
    <w:rsid w:val="007E52E2"/>
    <w:rsid w:val="007E58BE"/>
    <w:rsid w:val="007E6A22"/>
    <w:rsid w:val="007E6DBE"/>
    <w:rsid w:val="007E7251"/>
    <w:rsid w:val="007F05CA"/>
    <w:rsid w:val="007F193B"/>
    <w:rsid w:val="007F2E9F"/>
    <w:rsid w:val="007F43CC"/>
    <w:rsid w:val="007F65B1"/>
    <w:rsid w:val="0080249C"/>
    <w:rsid w:val="008024E3"/>
    <w:rsid w:val="008029CE"/>
    <w:rsid w:val="008043DD"/>
    <w:rsid w:val="008049E9"/>
    <w:rsid w:val="0080501E"/>
    <w:rsid w:val="00806A26"/>
    <w:rsid w:val="00807A26"/>
    <w:rsid w:val="0081027E"/>
    <w:rsid w:val="008111B1"/>
    <w:rsid w:val="00811B95"/>
    <w:rsid w:val="00814316"/>
    <w:rsid w:val="00814707"/>
    <w:rsid w:val="00814F51"/>
    <w:rsid w:val="008158BB"/>
    <w:rsid w:val="00816AF2"/>
    <w:rsid w:val="0081759F"/>
    <w:rsid w:val="00817B1F"/>
    <w:rsid w:val="008203C6"/>
    <w:rsid w:val="00822D72"/>
    <w:rsid w:val="00826A34"/>
    <w:rsid w:val="00826BF1"/>
    <w:rsid w:val="00826EEE"/>
    <w:rsid w:val="008278EA"/>
    <w:rsid w:val="00827925"/>
    <w:rsid w:val="00827AD2"/>
    <w:rsid w:val="00827F5D"/>
    <w:rsid w:val="00832017"/>
    <w:rsid w:val="00832510"/>
    <w:rsid w:val="00833365"/>
    <w:rsid w:val="00833679"/>
    <w:rsid w:val="00834E70"/>
    <w:rsid w:val="00836618"/>
    <w:rsid w:val="0084049B"/>
    <w:rsid w:val="00842AA9"/>
    <w:rsid w:val="00845405"/>
    <w:rsid w:val="008502D8"/>
    <w:rsid w:val="00850829"/>
    <w:rsid w:val="00854EF6"/>
    <w:rsid w:val="00866666"/>
    <w:rsid w:val="00873F15"/>
    <w:rsid w:val="008743F5"/>
    <w:rsid w:val="00876493"/>
    <w:rsid w:val="00877EBF"/>
    <w:rsid w:val="008825C2"/>
    <w:rsid w:val="008827AC"/>
    <w:rsid w:val="00883C54"/>
    <w:rsid w:val="00883FC2"/>
    <w:rsid w:val="00884D11"/>
    <w:rsid w:val="00887DF1"/>
    <w:rsid w:val="00891168"/>
    <w:rsid w:val="008920C6"/>
    <w:rsid w:val="00892D2D"/>
    <w:rsid w:val="00893B30"/>
    <w:rsid w:val="00895251"/>
    <w:rsid w:val="00896F51"/>
    <w:rsid w:val="00897B69"/>
    <w:rsid w:val="00897CE6"/>
    <w:rsid w:val="008A1151"/>
    <w:rsid w:val="008A13AA"/>
    <w:rsid w:val="008A1732"/>
    <w:rsid w:val="008A22E3"/>
    <w:rsid w:val="008A4E8A"/>
    <w:rsid w:val="008A5E3B"/>
    <w:rsid w:val="008A63B5"/>
    <w:rsid w:val="008B19B3"/>
    <w:rsid w:val="008B2467"/>
    <w:rsid w:val="008B28B0"/>
    <w:rsid w:val="008B4298"/>
    <w:rsid w:val="008B5A24"/>
    <w:rsid w:val="008B5FE6"/>
    <w:rsid w:val="008B6B9F"/>
    <w:rsid w:val="008B779D"/>
    <w:rsid w:val="008C01EC"/>
    <w:rsid w:val="008C04DE"/>
    <w:rsid w:val="008C2030"/>
    <w:rsid w:val="008C3182"/>
    <w:rsid w:val="008C5C88"/>
    <w:rsid w:val="008C67D1"/>
    <w:rsid w:val="008D12C9"/>
    <w:rsid w:val="008D39A9"/>
    <w:rsid w:val="008D3BDD"/>
    <w:rsid w:val="008D4144"/>
    <w:rsid w:val="008D44C2"/>
    <w:rsid w:val="008D4A89"/>
    <w:rsid w:val="008D4B3D"/>
    <w:rsid w:val="008D5F7B"/>
    <w:rsid w:val="008D6858"/>
    <w:rsid w:val="008E0382"/>
    <w:rsid w:val="008E0AF2"/>
    <w:rsid w:val="008E0DFD"/>
    <w:rsid w:val="008E418B"/>
    <w:rsid w:val="008E4780"/>
    <w:rsid w:val="008E50EC"/>
    <w:rsid w:val="008E5A07"/>
    <w:rsid w:val="008F0545"/>
    <w:rsid w:val="008F0752"/>
    <w:rsid w:val="008F0B4F"/>
    <w:rsid w:val="008F104D"/>
    <w:rsid w:val="008F1952"/>
    <w:rsid w:val="008F460B"/>
    <w:rsid w:val="008F6732"/>
    <w:rsid w:val="008F6EEA"/>
    <w:rsid w:val="008F73E1"/>
    <w:rsid w:val="009016A4"/>
    <w:rsid w:val="00901B1B"/>
    <w:rsid w:val="00907080"/>
    <w:rsid w:val="00910087"/>
    <w:rsid w:val="009100C4"/>
    <w:rsid w:val="00911053"/>
    <w:rsid w:val="00911207"/>
    <w:rsid w:val="00912D26"/>
    <w:rsid w:val="00912D3B"/>
    <w:rsid w:val="009144ED"/>
    <w:rsid w:val="00914CB3"/>
    <w:rsid w:val="00915DF4"/>
    <w:rsid w:val="0091742D"/>
    <w:rsid w:val="009206F2"/>
    <w:rsid w:val="00921DBD"/>
    <w:rsid w:val="00922484"/>
    <w:rsid w:val="00925730"/>
    <w:rsid w:val="00927311"/>
    <w:rsid w:val="00927DF6"/>
    <w:rsid w:val="00930628"/>
    <w:rsid w:val="009307C5"/>
    <w:rsid w:val="00934AB5"/>
    <w:rsid w:val="00934AFB"/>
    <w:rsid w:val="00934B13"/>
    <w:rsid w:val="009351C0"/>
    <w:rsid w:val="00940E9D"/>
    <w:rsid w:val="00943A7B"/>
    <w:rsid w:val="00950780"/>
    <w:rsid w:val="009547F9"/>
    <w:rsid w:val="00955D64"/>
    <w:rsid w:val="00955F9B"/>
    <w:rsid w:val="009569F6"/>
    <w:rsid w:val="00960075"/>
    <w:rsid w:val="00961963"/>
    <w:rsid w:val="0096649D"/>
    <w:rsid w:val="009674C5"/>
    <w:rsid w:val="0097113C"/>
    <w:rsid w:val="00972133"/>
    <w:rsid w:val="00974BB5"/>
    <w:rsid w:val="0097551D"/>
    <w:rsid w:val="009763F5"/>
    <w:rsid w:val="0098027A"/>
    <w:rsid w:val="009812D8"/>
    <w:rsid w:val="0098543B"/>
    <w:rsid w:val="00986D52"/>
    <w:rsid w:val="00992601"/>
    <w:rsid w:val="009926EA"/>
    <w:rsid w:val="00994A89"/>
    <w:rsid w:val="00995174"/>
    <w:rsid w:val="00996F37"/>
    <w:rsid w:val="009978ED"/>
    <w:rsid w:val="00997E7E"/>
    <w:rsid w:val="009A1940"/>
    <w:rsid w:val="009A3A1D"/>
    <w:rsid w:val="009A6254"/>
    <w:rsid w:val="009A7B9E"/>
    <w:rsid w:val="009B2199"/>
    <w:rsid w:val="009B7245"/>
    <w:rsid w:val="009B789F"/>
    <w:rsid w:val="009C3EA0"/>
    <w:rsid w:val="009C45AE"/>
    <w:rsid w:val="009C469B"/>
    <w:rsid w:val="009C5288"/>
    <w:rsid w:val="009C5312"/>
    <w:rsid w:val="009C574F"/>
    <w:rsid w:val="009C5925"/>
    <w:rsid w:val="009C627F"/>
    <w:rsid w:val="009D1F04"/>
    <w:rsid w:val="009D3CD0"/>
    <w:rsid w:val="009D414C"/>
    <w:rsid w:val="009D4767"/>
    <w:rsid w:val="009D47C5"/>
    <w:rsid w:val="009D4BD5"/>
    <w:rsid w:val="009D4FB3"/>
    <w:rsid w:val="009D50B5"/>
    <w:rsid w:val="009D6059"/>
    <w:rsid w:val="009D6782"/>
    <w:rsid w:val="009D7589"/>
    <w:rsid w:val="009E10E9"/>
    <w:rsid w:val="009E3B98"/>
    <w:rsid w:val="009E412C"/>
    <w:rsid w:val="009E421B"/>
    <w:rsid w:val="009E5C93"/>
    <w:rsid w:val="009F0B1D"/>
    <w:rsid w:val="009F1991"/>
    <w:rsid w:val="009F4D47"/>
    <w:rsid w:val="009F7BCC"/>
    <w:rsid w:val="009F7FCA"/>
    <w:rsid w:val="00A00382"/>
    <w:rsid w:val="00A0056F"/>
    <w:rsid w:val="00A01030"/>
    <w:rsid w:val="00A0192A"/>
    <w:rsid w:val="00A06080"/>
    <w:rsid w:val="00A10E63"/>
    <w:rsid w:val="00A12368"/>
    <w:rsid w:val="00A1287C"/>
    <w:rsid w:val="00A150EA"/>
    <w:rsid w:val="00A167FF"/>
    <w:rsid w:val="00A17F28"/>
    <w:rsid w:val="00A20BBD"/>
    <w:rsid w:val="00A21DD0"/>
    <w:rsid w:val="00A22DCC"/>
    <w:rsid w:val="00A23A9D"/>
    <w:rsid w:val="00A24333"/>
    <w:rsid w:val="00A2540F"/>
    <w:rsid w:val="00A273D9"/>
    <w:rsid w:val="00A302D9"/>
    <w:rsid w:val="00A32195"/>
    <w:rsid w:val="00A349E5"/>
    <w:rsid w:val="00A36B3E"/>
    <w:rsid w:val="00A42992"/>
    <w:rsid w:val="00A437C5"/>
    <w:rsid w:val="00A438DC"/>
    <w:rsid w:val="00A44C49"/>
    <w:rsid w:val="00A46B59"/>
    <w:rsid w:val="00A47B4E"/>
    <w:rsid w:val="00A507C9"/>
    <w:rsid w:val="00A53F6B"/>
    <w:rsid w:val="00A55E37"/>
    <w:rsid w:val="00A638A3"/>
    <w:rsid w:val="00A63E6D"/>
    <w:rsid w:val="00A671EF"/>
    <w:rsid w:val="00A67CBF"/>
    <w:rsid w:val="00A705C5"/>
    <w:rsid w:val="00A71037"/>
    <w:rsid w:val="00A7440C"/>
    <w:rsid w:val="00A751FB"/>
    <w:rsid w:val="00A759E3"/>
    <w:rsid w:val="00A77070"/>
    <w:rsid w:val="00A80412"/>
    <w:rsid w:val="00A805B8"/>
    <w:rsid w:val="00A8121D"/>
    <w:rsid w:val="00A81789"/>
    <w:rsid w:val="00A8282E"/>
    <w:rsid w:val="00A83027"/>
    <w:rsid w:val="00A83D35"/>
    <w:rsid w:val="00A84A8A"/>
    <w:rsid w:val="00A85452"/>
    <w:rsid w:val="00A91CDB"/>
    <w:rsid w:val="00A94769"/>
    <w:rsid w:val="00A95B21"/>
    <w:rsid w:val="00A976B7"/>
    <w:rsid w:val="00AA14B1"/>
    <w:rsid w:val="00AA56BB"/>
    <w:rsid w:val="00AA5FAA"/>
    <w:rsid w:val="00AB0550"/>
    <w:rsid w:val="00AB1297"/>
    <w:rsid w:val="00AB19E5"/>
    <w:rsid w:val="00AB3852"/>
    <w:rsid w:val="00AB4D58"/>
    <w:rsid w:val="00AB590C"/>
    <w:rsid w:val="00AC22AD"/>
    <w:rsid w:val="00AC2B54"/>
    <w:rsid w:val="00AC3CA2"/>
    <w:rsid w:val="00AC3E5C"/>
    <w:rsid w:val="00AC60D0"/>
    <w:rsid w:val="00AC6C1A"/>
    <w:rsid w:val="00AD09F2"/>
    <w:rsid w:val="00AD5246"/>
    <w:rsid w:val="00AD58F5"/>
    <w:rsid w:val="00AD59C9"/>
    <w:rsid w:val="00AD69BD"/>
    <w:rsid w:val="00AD74E0"/>
    <w:rsid w:val="00AD7CE2"/>
    <w:rsid w:val="00AE04AF"/>
    <w:rsid w:val="00AE1943"/>
    <w:rsid w:val="00AE5EE1"/>
    <w:rsid w:val="00AE66DF"/>
    <w:rsid w:val="00AE76B9"/>
    <w:rsid w:val="00AF27F5"/>
    <w:rsid w:val="00AF4561"/>
    <w:rsid w:val="00AF4F26"/>
    <w:rsid w:val="00AF5991"/>
    <w:rsid w:val="00AF608A"/>
    <w:rsid w:val="00AF79AF"/>
    <w:rsid w:val="00B00E53"/>
    <w:rsid w:val="00B03035"/>
    <w:rsid w:val="00B032F5"/>
    <w:rsid w:val="00B047EB"/>
    <w:rsid w:val="00B072F0"/>
    <w:rsid w:val="00B078E5"/>
    <w:rsid w:val="00B07B59"/>
    <w:rsid w:val="00B104F7"/>
    <w:rsid w:val="00B12045"/>
    <w:rsid w:val="00B16158"/>
    <w:rsid w:val="00B16672"/>
    <w:rsid w:val="00B17F53"/>
    <w:rsid w:val="00B24786"/>
    <w:rsid w:val="00B24D0F"/>
    <w:rsid w:val="00B25125"/>
    <w:rsid w:val="00B26D42"/>
    <w:rsid w:val="00B2782F"/>
    <w:rsid w:val="00B34E39"/>
    <w:rsid w:val="00B352EA"/>
    <w:rsid w:val="00B37716"/>
    <w:rsid w:val="00B4018E"/>
    <w:rsid w:val="00B44A04"/>
    <w:rsid w:val="00B45329"/>
    <w:rsid w:val="00B46A35"/>
    <w:rsid w:val="00B47450"/>
    <w:rsid w:val="00B47644"/>
    <w:rsid w:val="00B50C4E"/>
    <w:rsid w:val="00B5352C"/>
    <w:rsid w:val="00B557FC"/>
    <w:rsid w:val="00B55869"/>
    <w:rsid w:val="00B62056"/>
    <w:rsid w:val="00B65DD8"/>
    <w:rsid w:val="00B66049"/>
    <w:rsid w:val="00B66AF4"/>
    <w:rsid w:val="00B671D3"/>
    <w:rsid w:val="00B70D9E"/>
    <w:rsid w:val="00B71714"/>
    <w:rsid w:val="00B718EC"/>
    <w:rsid w:val="00B71FB0"/>
    <w:rsid w:val="00B725F6"/>
    <w:rsid w:val="00B747BA"/>
    <w:rsid w:val="00B76554"/>
    <w:rsid w:val="00B77010"/>
    <w:rsid w:val="00B77893"/>
    <w:rsid w:val="00B805DD"/>
    <w:rsid w:val="00B8272B"/>
    <w:rsid w:val="00B83230"/>
    <w:rsid w:val="00B83FF3"/>
    <w:rsid w:val="00B865D3"/>
    <w:rsid w:val="00B86B87"/>
    <w:rsid w:val="00B91737"/>
    <w:rsid w:val="00B91C98"/>
    <w:rsid w:val="00B920F2"/>
    <w:rsid w:val="00B9221E"/>
    <w:rsid w:val="00B9225B"/>
    <w:rsid w:val="00B9401E"/>
    <w:rsid w:val="00B95839"/>
    <w:rsid w:val="00B95A81"/>
    <w:rsid w:val="00B95F9A"/>
    <w:rsid w:val="00B964F0"/>
    <w:rsid w:val="00B9738B"/>
    <w:rsid w:val="00B97ECB"/>
    <w:rsid w:val="00BA0E2B"/>
    <w:rsid w:val="00BA4051"/>
    <w:rsid w:val="00BA5ED7"/>
    <w:rsid w:val="00BA716A"/>
    <w:rsid w:val="00BA74E8"/>
    <w:rsid w:val="00BA7602"/>
    <w:rsid w:val="00BB24E3"/>
    <w:rsid w:val="00BB30F7"/>
    <w:rsid w:val="00BB3122"/>
    <w:rsid w:val="00BB316D"/>
    <w:rsid w:val="00BB42E1"/>
    <w:rsid w:val="00BB4EE7"/>
    <w:rsid w:val="00BB66CA"/>
    <w:rsid w:val="00BB6E33"/>
    <w:rsid w:val="00BB7C4D"/>
    <w:rsid w:val="00BC1118"/>
    <w:rsid w:val="00BC4F80"/>
    <w:rsid w:val="00BC5B66"/>
    <w:rsid w:val="00BC5FFA"/>
    <w:rsid w:val="00BC6F6C"/>
    <w:rsid w:val="00BD23E1"/>
    <w:rsid w:val="00BD2474"/>
    <w:rsid w:val="00BD58B6"/>
    <w:rsid w:val="00BD5CD0"/>
    <w:rsid w:val="00BD725A"/>
    <w:rsid w:val="00BE0FB2"/>
    <w:rsid w:val="00BE5035"/>
    <w:rsid w:val="00BE6E7F"/>
    <w:rsid w:val="00BF3901"/>
    <w:rsid w:val="00BF7B5C"/>
    <w:rsid w:val="00C04FAE"/>
    <w:rsid w:val="00C06756"/>
    <w:rsid w:val="00C06BD6"/>
    <w:rsid w:val="00C10F26"/>
    <w:rsid w:val="00C1162F"/>
    <w:rsid w:val="00C13081"/>
    <w:rsid w:val="00C14320"/>
    <w:rsid w:val="00C14A05"/>
    <w:rsid w:val="00C16B79"/>
    <w:rsid w:val="00C17FB2"/>
    <w:rsid w:val="00C20F2F"/>
    <w:rsid w:val="00C22FEB"/>
    <w:rsid w:val="00C24DFB"/>
    <w:rsid w:val="00C25F04"/>
    <w:rsid w:val="00C27494"/>
    <w:rsid w:val="00C27D63"/>
    <w:rsid w:val="00C2A4ED"/>
    <w:rsid w:val="00C30473"/>
    <w:rsid w:val="00C3162A"/>
    <w:rsid w:val="00C334C4"/>
    <w:rsid w:val="00C34CF3"/>
    <w:rsid w:val="00C34E80"/>
    <w:rsid w:val="00C35130"/>
    <w:rsid w:val="00C359C7"/>
    <w:rsid w:val="00C35FED"/>
    <w:rsid w:val="00C36361"/>
    <w:rsid w:val="00C36DC1"/>
    <w:rsid w:val="00C449F0"/>
    <w:rsid w:val="00C47E09"/>
    <w:rsid w:val="00C5385C"/>
    <w:rsid w:val="00C6089F"/>
    <w:rsid w:val="00C6209F"/>
    <w:rsid w:val="00C6285C"/>
    <w:rsid w:val="00C64F01"/>
    <w:rsid w:val="00C66FBA"/>
    <w:rsid w:val="00C67058"/>
    <w:rsid w:val="00C712E7"/>
    <w:rsid w:val="00C73686"/>
    <w:rsid w:val="00C74B6F"/>
    <w:rsid w:val="00C75FBE"/>
    <w:rsid w:val="00C76083"/>
    <w:rsid w:val="00C76203"/>
    <w:rsid w:val="00C77B1F"/>
    <w:rsid w:val="00C80374"/>
    <w:rsid w:val="00C81768"/>
    <w:rsid w:val="00C900C8"/>
    <w:rsid w:val="00C9031B"/>
    <w:rsid w:val="00C9072D"/>
    <w:rsid w:val="00C9116D"/>
    <w:rsid w:val="00C924FD"/>
    <w:rsid w:val="00C9279A"/>
    <w:rsid w:val="00C93F07"/>
    <w:rsid w:val="00C94A4C"/>
    <w:rsid w:val="00C969C4"/>
    <w:rsid w:val="00C976A1"/>
    <w:rsid w:val="00C97DDF"/>
    <w:rsid w:val="00C97F7E"/>
    <w:rsid w:val="00CA06FF"/>
    <w:rsid w:val="00CA2670"/>
    <w:rsid w:val="00CA2A31"/>
    <w:rsid w:val="00CA33A5"/>
    <w:rsid w:val="00CA410C"/>
    <w:rsid w:val="00CA4DCA"/>
    <w:rsid w:val="00CA5AF1"/>
    <w:rsid w:val="00CB3A70"/>
    <w:rsid w:val="00CB55D3"/>
    <w:rsid w:val="00CB5A31"/>
    <w:rsid w:val="00CB5B87"/>
    <w:rsid w:val="00CB5F94"/>
    <w:rsid w:val="00CB60C6"/>
    <w:rsid w:val="00CB7CDF"/>
    <w:rsid w:val="00CC2BF6"/>
    <w:rsid w:val="00CC420B"/>
    <w:rsid w:val="00CC4427"/>
    <w:rsid w:val="00CC5510"/>
    <w:rsid w:val="00CC5AB3"/>
    <w:rsid w:val="00CC5C3C"/>
    <w:rsid w:val="00CD0FB7"/>
    <w:rsid w:val="00CD4983"/>
    <w:rsid w:val="00CD5AC8"/>
    <w:rsid w:val="00CD5E21"/>
    <w:rsid w:val="00CD6035"/>
    <w:rsid w:val="00CD62EB"/>
    <w:rsid w:val="00CE140A"/>
    <w:rsid w:val="00CE3808"/>
    <w:rsid w:val="00CE66FF"/>
    <w:rsid w:val="00CE696A"/>
    <w:rsid w:val="00CF116E"/>
    <w:rsid w:val="00CF2693"/>
    <w:rsid w:val="00D014F6"/>
    <w:rsid w:val="00D02BD2"/>
    <w:rsid w:val="00D06A78"/>
    <w:rsid w:val="00D070CA"/>
    <w:rsid w:val="00D10A46"/>
    <w:rsid w:val="00D11242"/>
    <w:rsid w:val="00D11E0F"/>
    <w:rsid w:val="00D14DDB"/>
    <w:rsid w:val="00D20BB3"/>
    <w:rsid w:val="00D2272C"/>
    <w:rsid w:val="00D22DF3"/>
    <w:rsid w:val="00D22F7E"/>
    <w:rsid w:val="00D23361"/>
    <w:rsid w:val="00D23584"/>
    <w:rsid w:val="00D239B8"/>
    <w:rsid w:val="00D23EBB"/>
    <w:rsid w:val="00D2465F"/>
    <w:rsid w:val="00D246EF"/>
    <w:rsid w:val="00D27A1E"/>
    <w:rsid w:val="00D30BCA"/>
    <w:rsid w:val="00D32A3B"/>
    <w:rsid w:val="00D36999"/>
    <w:rsid w:val="00D37430"/>
    <w:rsid w:val="00D37D7E"/>
    <w:rsid w:val="00D40017"/>
    <w:rsid w:val="00D405D4"/>
    <w:rsid w:val="00D43B21"/>
    <w:rsid w:val="00D4402A"/>
    <w:rsid w:val="00D472A8"/>
    <w:rsid w:val="00D51D5B"/>
    <w:rsid w:val="00D529D8"/>
    <w:rsid w:val="00D53E57"/>
    <w:rsid w:val="00D54898"/>
    <w:rsid w:val="00D568FF"/>
    <w:rsid w:val="00D56A1C"/>
    <w:rsid w:val="00D56AF9"/>
    <w:rsid w:val="00D57A5A"/>
    <w:rsid w:val="00D57B44"/>
    <w:rsid w:val="00D61C27"/>
    <w:rsid w:val="00D61F28"/>
    <w:rsid w:val="00D6308A"/>
    <w:rsid w:val="00D65E72"/>
    <w:rsid w:val="00D6709B"/>
    <w:rsid w:val="00D67139"/>
    <w:rsid w:val="00D727C1"/>
    <w:rsid w:val="00D75206"/>
    <w:rsid w:val="00D76C8D"/>
    <w:rsid w:val="00D81B76"/>
    <w:rsid w:val="00D820A3"/>
    <w:rsid w:val="00D8462B"/>
    <w:rsid w:val="00D84A8D"/>
    <w:rsid w:val="00D85D65"/>
    <w:rsid w:val="00D86235"/>
    <w:rsid w:val="00D906C3"/>
    <w:rsid w:val="00DA04CA"/>
    <w:rsid w:val="00DA04DE"/>
    <w:rsid w:val="00DA0C0A"/>
    <w:rsid w:val="00DA2A94"/>
    <w:rsid w:val="00DA4844"/>
    <w:rsid w:val="00DA7D11"/>
    <w:rsid w:val="00DB1AAC"/>
    <w:rsid w:val="00DB2648"/>
    <w:rsid w:val="00DB361C"/>
    <w:rsid w:val="00DB47CD"/>
    <w:rsid w:val="00DB4E38"/>
    <w:rsid w:val="00DB5797"/>
    <w:rsid w:val="00DB7E54"/>
    <w:rsid w:val="00DC0DF7"/>
    <w:rsid w:val="00DC20ED"/>
    <w:rsid w:val="00DC30E2"/>
    <w:rsid w:val="00DD0F48"/>
    <w:rsid w:val="00DD3D42"/>
    <w:rsid w:val="00DE1D52"/>
    <w:rsid w:val="00DE2F02"/>
    <w:rsid w:val="00DE499F"/>
    <w:rsid w:val="00DE61D7"/>
    <w:rsid w:val="00DE6A9A"/>
    <w:rsid w:val="00DE6E3A"/>
    <w:rsid w:val="00DF196A"/>
    <w:rsid w:val="00DF6934"/>
    <w:rsid w:val="00E024BD"/>
    <w:rsid w:val="00E041A3"/>
    <w:rsid w:val="00E05521"/>
    <w:rsid w:val="00E06F47"/>
    <w:rsid w:val="00E105A8"/>
    <w:rsid w:val="00E1090C"/>
    <w:rsid w:val="00E1096F"/>
    <w:rsid w:val="00E12177"/>
    <w:rsid w:val="00E122C2"/>
    <w:rsid w:val="00E16282"/>
    <w:rsid w:val="00E16405"/>
    <w:rsid w:val="00E20B25"/>
    <w:rsid w:val="00E2101E"/>
    <w:rsid w:val="00E21B35"/>
    <w:rsid w:val="00E26417"/>
    <w:rsid w:val="00E32183"/>
    <w:rsid w:val="00E35188"/>
    <w:rsid w:val="00E36994"/>
    <w:rsid w:val="00E37602"/>
    <w:rsid w:val="00E378F7"/>
    <w:rsid w:val="00E412BA"/>
    <w:rsid w:val="00E41B1B"/>
    <w:rsid w:val="00E41D2D"/>
    <w:rsid w:val="00E420DD"/>
    <w:rsid w:val="00E44C5A"/>
    <w:rsid w:val="00E45605"/>
    <w:rsid w:val="00E50586"/>
    <w:rsid w:val="00E516F7"/>
    <w:rsid w:val="00E5325C"/>
    <w:rsid w:val="00E535FF"/>
    <w:rsid w:val="00E5464D"/>
    <w:rsid w:val="00E566D9"/>
    <w:rsid w:val="00E56963"/>
    <w:rsid w:val="00E575E1"/>
    <w:rsid w:val="00E60B50"/>
    <w:rsid w:val="00E635EF"/>
    <w:rsid w:val="00E640FE"/>
    <w:rsid w:val="00E64EE6"/>
    <w:rsid w:val="00E7092E"/>
    <w:rsid w:val="00E70977"/>
    <w:rsid w:val="00E71CE2"/>
    <w:rsid w:val="00E71EBD"/>
    <w:rsid w:val="00E72576"/>
    <w:rsid w:val="00E727DF"/>
    <w:rsid w:val="00E750B2"/>
    <w:rsid w:val="00E75651"/>
    <w:rsid w:val="00E77A03"/>
    <w:rsid w:val="00E81CCB"/>
    <w:rsid w:val="00E82AD9"/>
    <w:rsid w:val="00E850E3"/>
    <w:rsid w:val="00E85EA7"/>
    <w:rsid w:val="00E8699A"/>
    <w:rsid w:val="00E872CF"/>
    <w:rsid w:val="00E91710"/>
    <w:rsid w:val="00E9271D"/>
    <w:rsid w:val="00E93134"/>
    <w:rsid w:val="00E95381"/>
    <w:rsid w:val="00E975CA"/>
    <w:rsid w:val="00EA0B49"/>
    <w:rsid w:val="00EA25F8"/>
    <w:rsid w:val="00EA328C"/>
    <w:rsid w:val="00EA34CE"/>
    <w:rsid w:val="00EA36A3"/>
    <w:rsid w:val="00EA5E25"/>
    <w:rsid w:val="00EB16B6"/>
    <w:rsid w:val="00EB2B04"/>
    <w:rsid w:val="00EB3A53"/>
    <w:rsid w:val="00EB574B"/>
    <w:rsid w:val="00EB6FB1"/>
    <w:rsid w:val="00EC159A"/>
    <w:rsid w:val="00EC18D2"/>
    <w:rsid w:val="00EC290D"/>
    <w:rsid w:val="00EC474D"/>
    <w:rsid w:val="00EC4C3C"/>
    <w:rsid w:val="00ED0916"/>
    <w:rsid w:val="00ED2230"/>
    <w:rsid w:val="00ED3422"/>
    <w:rsid w:val="00ED4EC3"/>
    <w:rsid w:val="00ED6239"/>
    <w:rsid w:val="00EE0864"/>
    <w:rsid w:val="00EE11AE"/>
    <w:rsid w:val="00EE2ED1"/>
    <w:rsid w:val="00EE5BA3"/>
    <w:rsid w:val="00EE74DE"/>
    <w:rsid w:val="00EE765A"/>
    <w:rsid w:val="00EF0F06"/>
    <w:rsid w:val="00EF198D"/>
    <w:rsid w:val="00EF349C"/>
    <w:rsid w:val="00EF3A80"/>
    <w:rsid w:val="00EF3CEA"/>
    <w:rsid w:val="00EF400F"/>
    <w:rsid w:val="00EF4651"/>
    <w:rsid w:val="00EF73EA"/>
    <w:rsid w:val="00F02E2D"/>
    <w:rsid w:val="00F0355E"/>
    <w:rsid w:val="00F13103"/>
    <w:rsid w:val="00F13D64"/>
    <w:rsid w:val="00F156E6"/>
    <w:rsid w:val="00F20D4C"/>
    <w:rsid w:val="00F31A2B"/>
    <w:rsid w:val="00F32AC5"/>
    <w:rsid w:val="00F36B8A"/>
    <w:rsid w:val="00F37CA1"/>
    <w:rsid w:val="00F40033"/>
    <w:rsid w:val="00F413DD"/>
    <w:rsid w:val="00F41C65"/>
    <w:rsid w:val="00F44879"/>
    <w:rsid w:val="00F460AD"/>
    <w:rsid w:val="00F46560"/>
    <w:rsid w:val="00F46C7B"/>
    <w:rsid w:val="00F47CDE"/>
    <w:rsid w:val="00F502CE"/>
    <w:rsid w:val="00F5251B"/>
    <w:rsid w:val="00F52CFD"/>
    <w:rsid w:val="00F55328"/>
    <w:rsid w:val="00F55565"/>
    <w:rsid w:val="00F5639B"/>
    <w:rsid w:val="00F56986"/>
    <w:rsid w:val="00F5743B"/>
    <w:rsid w:val="00F57E66"/>
    <w:rsid w:val="00F62E54"/>
    <w:rsid w:val="00F652A9"/>
    <w:rsid w:val="00F666D2"/>
    <w:rsid w:val="00F66B1E"/>
    <w:rsid w:val="00F70500"/>
    <w:rsid w:val="00F716D1"/>
    <w:rsid w:val="00F736E4"/>
    <w:rsid w:val="00F757F4"/>
    <w:rsid w:val="00F804BC"/>
    <w:rsid w:val="00F813E9"/>
    <w:rsid w:val="00F81AC2"/>
    <w:rsid w:val="00F8232A"/>
    <w:rsid w:val="00F85AD3"/>
    <w:rsid w:val="00F86384"/>
    <w:rsid w:val="00F90C37"/>
    <w:rsid w:val="00F914EF"/>
    <w:rsid w:val="00F92ACE"/>
    <w:rsid w:val="00F92F42"/>
    <w:rsid w:val="00F93CEB"/>
    <w:rsid w:val="00F94469"/>
    <w:rsid w:val="00F94ABC"/>
    <w:rsid w:val="00F94F22"/>
    <w:rsid w:val="00F95EC4"/>
    <w:rsid w:val="00FA0D61"/>
    <w:rsid w:val="00FA31DC"/>
    <w:rsid w:val="00FA3342"/>
    <w:rsid w:val="00FA6697"/>
    <w:rsid w:val="00FA66B4"/>
    <w:rsid w:val="00FA7563"/>
    <w:rsid w:val="00FB05A3"/>
    <w:rsid w:val="00FB113B"/>
    <w:rsid w:val="00FB1154"/>
    <w:rsid w:val="00FB2803"/>
    <w:rsid w:val="00FB3836"/>
    <w:rsid w:val="00FB4C42"/>
    <w:rsid w:val="00FB645D"/>
    <w:rsid w:val="00FB6F6B"/>
    <w:rsid w:val="00FC16FB"/>
    <w:rsid w:val="00FC20C4"/>
    <w:rsid w:val="00FC4118"/>
    <w:rsid w:val="00FC4CD0"/>
    <w:rsid w:val="00FC570A"/>
    <w:rsid w:val="00FC63B0"/>
    <w:rsid w:val="00FC6B40"/>
    <w:rsid w:val="00FC7218"/>
    <w:rsid w:val="00FC73AB"/>
    <w:rsid w:val="00FC78B9"/>
    <w:rsid w:val="00FD00FA"/>
    <w:rsid w:val="00FD0D55"/>
    <w:rsid w:val="00FD0E2A"/>
    <w:rsid w:val="00FD0F63"/>
    <w:rsid w:val="00FD743A"/>
    <w:rsid w:val="00FF5676"/>
    <w:rsid w:val="011DB655"/>
    <w:rsid w:val="0130267E"/>
    <w:rsid w:val="01459A47"/>
    <w:rsid w:val="0199935F"/>
    <w:rsid w:val="02345A74"/>
    <w:rsid w:val="0262376F"/>
    <w:rsid w:val="029BA91D"/>
    <w:rsid w:val="02ADF39F"/>
    <w:rsid w:val="031964DB"/>
    <w:rsid w:val="0326F4AF"/>
    <w:rsid w:val="03336ADF"/>
    <w:rsid w:val="03522D3A"/>
    <w:rsid w:val="039D8903"/>
    <w:rsid w:val="0427D752"/>
    <w:rsid w:val="04766AB3"/>
    <w:rsid w:val="04C74051"/>
    <w:rsid w:val="057BAD0E"/>
    <w:rsid w:val="058B4E72"/>
    <w:rsid w:val="05BBC34F"/>
    <w:rsid w:val="05BDD6DE"/>
    <w:rsid w:val="05BE5180"/>
    <w:rsid w:val="0603C20C"/>
    <w:rsid w:val="060EE261"/>
    <w:rsid w:val="062A09D3"/>
    <w:rsid w:val="067C1E84"/>
    <w:rsid w:val="067FA85E"/>
    <w:rsid w:val="068566FF"/>
    <w:rsid w:val="07A8CBD5"/>
    <w:rsid w:val="07C72433"/>
    <w:rsid w:val="0823E677"/>
    <w:rsid w:val="088D6475"/>
    <w:rsid w:val="08D49A45"/>
    <w:rsid w:val="092B5E9A"/>
    <w:rsid w:val="09680455"/>
    <w:rsid w:val="09967951"/>
    <w:rsid w:val="09A03B69"/>
    <w:rsid w:val="0A8C5B0C"/>
    <w:rsid w:val="0AB1FC03"/>
    <w:rsid w:val="0BAB163D"/>
    <w:rsid w:val="0C062502"/>
    <w:rsid w:val="0C16313F"/>
    <w:rsid w:val="0C1DFCA1"/>
    <w:rsid w:val="0C6454AB"/>
    <w:rsid w:val="0CC2CA3A"/>
    <w:rsid w:val="0CD1D764"/>
    <w:rsid w:val="0CD5056B"/>
    <w:rsid w:val="0CE2D6BD"/>
    <w:rsid w:val="0CFFF4C2"/>
    <w:rsid w:val="0D178278"/>
    <w:rsid w:val="0D398101"/>
    <w:rsid w:val="0D963A95"/>
    <w:rsid w:val="0E016271"/>
    <w:rsid w:val="0E45CFE7"/>
    <w:rsid w:val="0E52273F"/>
    <w:rsid w:val="0EE16B4B"/>
    <w:rsid w:val="0F137D6C"/>
    <w:rsid w:val="0F4B2631"/>
    <w:rsid w:val="0F73479F"/>
    <w:rsid w:val="0F799928"/>
    <w:rsid w:val="0FB874F2"/>
    <w:rsid w:val="10215BEE"/>
    <w:rsid w:val="10334E7A"/>
    <w:rsid w:val="107479E8"/>
    <w:rsid w:val="110859C6"/>
    <w:rsid w:val="11211D20"/>
    <w:rsid w:val="1125128B"/>
    <w:rsid w:val="114F4437"/>
    <w:rsid w:val="11667530"/>
    <w:rsid w:val="11B4075F"/>
    <w:rsid w:val="11F27525"/>
    <w:rsid w:val="11F76B83"/>
    <w:rsid w:val="125049A2"/>
    <w:rsid w:val="12BE0B02"/>
    <w:rsid w:val="12CC0381"/>
    <w:rsid w:val="12DF5061"/>
    <w:rsid w:val="12EE0F67"/>
    <w:rsid w:val="13316F63"/>
    <w:rsid w:val="135E0623"/>
    <w:rsid w:val="136A0E0D"/>
    <w:rsid w:val="14A841D4"/>
    <w:rsid w:val="14EC16B0"/>
    <w:rsid w:val="1513F3CD"/>
    <w:rsid w:val="15444A42"/>
    <w:rsid w:val="156E0846"/>
    <w:rsid w:val="15FCDC3F"/>
    <w:rsid w:val="1697CAC1"/>
    <w:rsid w:val="169822F8"/>
    <w:rsid w:val="169FDAB8"/>
    <w:rsid w:val="16E47C65"/>
    <w:rsid w:val="171A418B"/>
    <w:rsid w:val="17BC0753"/>
    <w:rsid w:val="17C872C3"/>
    <w:rsid w:val="17E2CE1A"/>
    <w:rsid w:val="18773783"/>
    <w:rsid w:val="18A100C8"/>
    <w:rsid w:val="18A3F6F4"/>
    <w:rsid w:val="18E8B402"/>
    <w:rsid w:val="195E6CD2"/>
    <w:rsid w:val="196CC668"/>
    <w:rsid w:val="1984CBC0"/>
    <w:rsid w:val="1992C623"/>
    <w:rsid w:val="19D934A1"/>
    <w:rsid w:val="1A509A99"/>
    <w:rsid w:val="1AA2DD00"/>
    <w:rsid w:val="1B2A611A"/>
    <w:rsid w:val="1BA7F873"/>
    <w:rsid w:val="1BC2238A"/>
    <w:rsid w:val="1BC5E48B"/>
    <w:rsid w:val="1C3E6A8D"/>
    <w:rsid w:val="1CF76DAD"/>
    <w:rsid w:val="1D4249BF"/>
    <w:rsid w:val="1DC33F57"/>
    <w:rsid w:val="1E0FE569"/>
    <w:rsid w:val="1E9A73E4"/>
    <w:rsid w:val="1EF30DAF"/>
    <w:rsid w:val="2022EB40"/>
    <w:rsid w:val="203A7A20"/>
    <w:rsid w:val="20477D21"/>
    <w:rsid w:val="206BA630"/>
    <w:rsid w:val="20C8D84E"/>
    <w:rsid w:val="20CEC719"/>
    <w:rsid w:val="2179B820"/>
    <w:rsid w:val="21F5E838"/>
    <w:rsid w:val="22139C8D"/>
    <w:rsid w:val="2232BF48"/>
    <w:rsid w:val="22836380"/>
    <w:rsid w:val="2292E961"/>
    <w:rsid w:val="22C3589C"/>
    <w:rsid w:val="22E6502D"/>
    <w:rsid w:val="235DFE00"/>
    <w:rsid w:val="23782A5C"/>
    <w:rsid w:val="23BC6B4C"/>
    <w:rsid w:val="23C49304"/>
    <w:rsid w:val="23C8C0E9"/>
    <w:rsid w:val="23D16B4D"/>
    <w:rsid w:val="23EFEAFD"/>
    <w:rsid w:val="23F923FD"/>
    <w:rsid w:val="244B0732"/>
    <w:rsid w:val="2517D3AC"/>
    <w:rsid w:val="2521CC9D"/>
    <w:rsid w:val="252E2C21"/>
    <w:rsid w:val="254713CA"/>
    <w:rsid w:val="25DF2D9A"/>
    <w:rsid w:val="2619A4C2"/>
    <w:rsid w:val="26256D06"/>
    <w:rsid w:val="2742A7C8"/>
    <w:rsid w:val="27501DD7"/>
    <w:rsid w:val="27815BD2"/>
    <w:rsid w:val="27DF191B"/>
    <w:rsid w:val="27DFA36E"/>
    <w:rsid w:val="282B454D"/>
    <w:rsid w:val="2A2B010E"/>
    <w:rsid w:val="2A6745E5"/>
    <w:rsid w:val="2A821008"/>
    <w:rsid w:val="2AB74792"/>
    <w:rsid w:val="2B4D6A4E"/>
    <w:rsid w:val="2BB910BE"/>
    <w:rsid w:val="2C6CEA0C"/>
    <w:rsid w:val="2C83DC0D"/>
    <w:rsid w:val="2C9935EF"/>
    <w:rsid w:val="2CA149CD"/>
    <w:rsid w:val="2CB1856B"/>
    <w:rsid w:val="2D0E5F10"/>
    <w:rsid w:val="2D3A7B2D"/>
    <w:rsid w:val="2D527E72"/>
    <w:rsid w:val="2D8D9DA5"/>
    <w:rsid w:val="2D97A15B"/>
    <w:rsid w:val="2DB5E709"/>
    <w:rsid w:val="2DC5F935"/>
    <w:rsid w:val="2DD3D222"/>
    <w:rsid w:val="2E07AAEE"/>
    <w:rsid w:val="2E32E73E"/>
    <w:rsid w:val="2E40B79F"/>
    <w:rsid w:val="2E926831"/>
    <w:rsid w:val="2EB28AD6"/>
    <w:rsid w:val="2F19B42E"/>
    <w:rsid w:val="2F237E01"/>
    <w:rsid w:val="2FDD1786"/>
    <w:rsid w:val="2FE50C2B"/>
    <w:rsid w:val="303ADB7C"/>
    <w:rsid w:val="30BE73AB"/>
    <w:rsid w:val="30C43D9F"/>
    <w:rsid w:val="31697DB1"/>
    <w:rsid w:val="31E0A3B3"/>
    <w:rsid w:val="32027235"/>
    <w:rsid w:val="32591322"/>
    <w:rsid w:val="327CF30F"/>
    <w:rsid w:val="33786E59"/>
    <w:rsid w:val="33A42581"/>
    <w:rsid w:val="33ED797A"/>
    <w:rsid w:val="34CABD17"/>
    <w:rsid w:val="34F76BFB"/>
    <w:rsid w:val="34FEF9B9"/>
    <w:rsid w:val="360ED4A8"/>
    <w:rsid w:val="3664B917"/>
    <w:rsid w:val="366FA925"/>
    <w:rsid w:val="36E38C7A"/>
    <w:rsid w:val="36FF41C9"/>
    <w:rsid w:val="38874422"/>
    <w:rsid w:val="38A6B0DD"/>
    <w:rsid w:val="38D85D10"/>
    <w:rsid w:val="38E551C9"/>
    <w:rsid w:val="3909CCB7"/>
    <w:rsid w:val="39274D5D"/>
    <w:rsid w:val="39D6C2FC"/>
    <w:rsid w:val="39D82A13"/>
    <w:rsid w:val="3A45ADC7"/>
    <w:rsid w:val="3AE56A5D"/>
    <w:rsid w:val="3B1EA258"/>
    <w:rsid w:val="3B883CC8"/>
    <w:rsid w:val="3B930853"/>
    <w:rsid w:val="3C39C2FA"/>
    <w:rsid w:val="3CBD2A2D"/>
    <w:rsid w:val="3CFDE6D7"/>
    <w:rsid w:val="3D86D943"/>
    <w:rsid w:val="3DBC9B38"/>
    <w:rsid w:val="3E2BDFAF"/>
    <w:rsid w:val="3E45DAD3"/>
    <w:rsid w:val="3E826E93"/>
    <w:rsid w:val="3EAA143E"/>
    <w:rsid w:val="3EF7DBED"/>
    <w:rsid w:val="3F108542"/>
    <w:rsid w:val="400A3DC6"/>
    <w:rsid w:val="40171677"/>
    <w:rsid w:val="40213672"/>
    <w:rsid w:val="402C0172"/>
    <w:rsid w:val="40860EB8"/>
    <w:rsid w:val="41BDE829"/>
    <w:rsid w:val="42009FDB"/>
    <w:rsid w:val="42142B04"/>
    <w:rsid w:val="426F8841"/>
    <w:rsid w:val="4300509E"/>
    <w:rsid w:val="432A940E"/>
    <w:rsid w:val="43705197"/>
    <w:rsid w:val="437F6C27"/>
    <w:rsid w:val="43941C49"/>
    <w:rsid w:val="440CE7C1"/>
    <w:rsid w:val="44750386"/>
    <w:rsid w:val="451E0335"/>
    <w:rsid w:val="4545CA04"/>
    <w:rsid w:val="459A4BFC"/>
    <w:rsid w:val="45CDF96D"/>
    <w:rsid w:val="466B52CA"/>
    <w:rsid w:val="4695EB14"/>
    <w:rsid w:val="46C1C298"/>
    <w:rsid w:val="46F1CFA1"/>
    <w:rsid w:val="4705B618"/>
    <w:rsid w:val="473A485B"/>
    <w:rsid w:val="475AA1AA"/>
    <w:rsid w:val="477349F0"/>
    <w:rsid w:val="479C6CC5"/>
    <w:rsid w:val="47AA10EB"/>
    <w:rsid w:val="49B6D943"/>
    <w:rsid w:val="4A26F001"/>
    <w:rsid w:val="4A846E5D"/>
    <w:rsid w:val="4ABDE791"/>
    <w:rsid w:val="4B0854D5"/>
    <w:rsid w:val="4B0BB68F"/>
    <w:rsid w:val="4B3C6D90"/>
    <w:rsid w:val="4B3D1507"/>
    <w:rsid w:val="4B4864F6"/>
    <w:rsid w:val="4BD751F8"/>
    <w:rsid w:val="4BFC5471"/>
    <w:rsid w:val="4C6FB826"/>
    <w:rsid w:val="4C7AE451"/>
    <w:rsid w:val="4D3FA29C"/>
    <w:rsid w:val="4DB7B240"/>
    <w:rsid w:val="4DDCD9FF"/>
    <w:rsid w:val="4E5C17FF"/>
    <w:rsid w:val="4F402B4D"/>
    <w:rsid w:val="4F8F8434"/>
    <w:rsid w:val="4FAE1A46"/>
    <w:rsid w:val="4FC6990D"/>
    <w:rsid w:val="50906479"/>
    <w:rsid w:val="50E91AA2"/>
    <w:rsid w:val="51082948"/>
    <w:rsid w:val="514CFB8A"/>
    <w:rsid w:val="5158A1F8"/>
    <w:rsid w:val="51657802"/>
    <w:rsid w:val="527A04DC"/>
    <w:rsid w:val="52BD1B97"/>
    <w:rsid w:val="530444E8"/>
    <w:rsid w:val="531CF9DF"/>
    <w:rsid w:val="5335493E"/>
    <w:rsid w:val="5348C251"/>
    <w:rsid w:val="537E22CE"/>
    <w:rsid w:val="5406356B"/>
    <w:rsid w:val="54077A1E"/>
    <w:rsid w:val="546136CF"/>
    <w:rsid w:val="54D8C57E"/>
    <w:rsid w:val="557D91C1"/>
    <w:rsid w:val="559BBD8A"/>
    <w:rsid w:val="55C1C1AD"/>
    <w:rsid w:val="55CC2387"/>
    <w:rsid w:val="561E566F"/>
    <w:rsid w:val="561F7052"/>
    <w:rsid w:val="562006BD"/>
    <w:rsid w:val="564A2C39"/>
    <w:rsid w:val="566F6928"/>
    <w:rsid w:val="56B044EC"/>
    <w:rsid w:val="56E289FD"/>
    <w:rsid w:val="570767C7"/>
    <w:rsid w:val="570C94C8"/>
    <w:rsid w:val="57388084"/>
    <w:rsid w:val="573E7224"/>
    <w:rsid w:val="57A2E2BB"/>
    <w:rsid w:val="5857F878"/>
    <w:rsid w:val="5878B819"/>
    <w:rsid w:val="58EF73F9"/>
    <w:rsid w:val="58FECD4C"/>
    <w:rsid w:val="59351E64"/>
    <w:rsid w:val="5998F6B4"/>
    <w:rsid w:val="59B15708"/>
    <w:rsid w:val="59B32808"/>
    <w:rsid w:val="59C2F297"/>
    <w:rsid w:val="59CBA537"/>
    <w:rsid w:val="59E6BAEF"/>
    <w:rsid w:val="5A31033A"/>
    <w:rsid w:val="5A84CA01"/>
    <w:rsid w:val="5A9D06E1"/>
    <w:rsid w:val="5AF292D3"/>
    <w:rsid w:val="5B7C1291"/>
    <w:rsid w:val="5B871EAA"/>
    <w:rsid w:val="5BC6FD14"/>
    <w:rsid w:val="5C4C3BAB"/>
    <w:rsid w:val="5C59CDDA"/>
    <w:rsid w:val="5C91C48A"/>
    <w:rsid w:val="5DBB9F87"/>
    <w:rsid w:val="5DE1BD40"/>
    <w:rsid w:val="5E3DE8EF"/>
    <w:rsid w:val="5E3F06F3"/>
    <w:rsid w:val="5EB717F0"/>
    <w:rsid w:val="5F02408F"/>
    <w:rsid w:val="5F05C172"/>
    <w:rsid w:val="5F0FF1C3"/>
    <w:rsid w:val="5F222B59"/>
    <w:rsid w:val="5F2D613B"/>
    <w:rsid w:val="5F41F47C"/>
    <w:rsid w:val="5F7E9152"/>
    <w:rsid w:val="5F93E3C7"/>
    <w:rsid w:val="600E6919"/>
    <w:rsid w:val="604763BF"/>
    <w:rsid w:val="604A1FE2"/>
    <w:rsid w:val="6061022C"/>
    <w:rsid w:val="60764961"/>
    <w:rsid w:val="62ACD220"/>
    <w:rsid w:val="6352348B"/>
    <w:rsid w:val="640F98A9"/>
    <w:rsid w:val="6438FB02"/>
    <w:rsid w:val="64B11E0A"/>
    <w:rsid w:val="64CE8BB0"/>
    <w:rsid w:val="6546147E"/>
    <w:rsid w:val="65766BCE"/>
    <w:rsid w:val="6582A772"/>
    <w:rsid w:val="659F2E07"/>
    <w:rsid w:val="65AAD5CA"/>
    <w:rsid w:val="66291EF2"/>
    <w:rsid w:val="66881F5B"/>
    <w:rsid w:val="66D10CFE"/>
    <w:rsid w:val="67EA0386"/>
    <w:rsid w:val="68736BB2"/>
    <w:rsid w:val="6895E42D"/>
    <w:rsid w:val="68A4C140"/>
    <w:rsid w:val="68E07732"/>
    <w:rsid w:val="69202B31"/>
    <w:rsid w:val="69316F04"/>
    <w:rsid w:val="6A0FBABA"/>
    <w:rsid w:val="6A42A61E"/>
    <w:rsid w:val="6A57179B"/>
    <w:rsid w:val="6A6A416D"/>
    <w:rsid w:val="6ABD4557"/>
    <w:rsid w:val="6AE158F2"/>
    <w:rsid w:val="6AFFB536"/>
    <w:rsid w:val="6B5A764F"/>
    <w:rsid w:val="6BAB91E0"/>
    <w:rsid w:val="6BDBD0B2"/>
    <w:rsid w:val="6C3ED079"/>
    <w:rsid w:val="6C55DF1D"/>
    <w:rsid w:val="6CB45796"/>
    <w:rsid w:val="6CCCB95D"/>
    <w:rsid w:val="6CD806CC"/>
    <w:rsid w:val="6DBC5B09"/>
    <w:rsid w:val="6DBD5C07"/>
    <w:rsid w:val="6E236618"/>
    <w:rsid w:val="6E4E4909"/>
    <w:rsid w:val="6E8D250C"/>
    <w:rsid w:val="6EB01EEB"/>
    <w:rsid w:val="6ED7207D"/>
    <w:rsid w:val="6EE0CD94"/>
    <w:rsid w:val="6F5BB12B"/>
    <w:rsid w:val="6FC4CADB"/>
    <w:rsid w:val="701C6633"/>
    <w:rsid w:val="70407DD7"/>
    <w:rsid w:val="70761BD6"/>
    <w:rsid w:val="70C074F1"/>
    <w:rsid w:val="714A7CD9"/>
    <w:rsid w:val="7183434E"/>
    <w:rsid w:val="71B40E03"/>
    <w:rsid w:val="71B83190"/>
    <w:rsid w:val="71C2DBBF"/>
    <w:rsid w:val="72438004"/>
    <w:rsid w:val="72464B73"/>
    <w:rsid w:val="740317CE"/>
    <w:rsid w:val="7411F26F"/>
    <w:rsid w:val="7430E2BB"/>
    <w:rsid w:val="746DC3E2"/>
    <w:rsid w:val="74FF816F"/>
    <w:rsid w:val="75419A7A"/>
    <w:rsid w:val="7590F6C4"/>
    <w:rsid w:val="75D4DC8F"/>
    <w:rsid w:val="75D5FA03"/>
    <w:rsid w:val="75D9D920"/>
    <w:rsid w:val="765030BB"/>
    <w:rsid w:val="766E9D07"/>
    <w:rsid w:val="76ABB136"/>
    <w:rsid w:val="771FD96A"/>
    <w:rsid w:val="77A29299"/>
    <w:rsid w:val="78267ACF"/>
    <w:rsid w:val="788043FD"/>
    <w:rsid w:val="78A5818B"/>
    <w:rsid w:val="78F380E5"/>
    <w:rsid w:val="7919574B"/>
    <w:rsid w:val="7994E907"/>
    <w:rsid w:val="799E48C1"/>
    <w:rsid w:val="79B54D05"/>
    <w:rsid w:val="79E6F9D7"/>
    <w:rsid w:val="7BF5D067"/>
    <w:rsid w:val="7C0EA17A"/>
    <w:rsid w:val="7C555F56"/>
    <w:rsid w:val="7C90DBC1"/>
    <w:rsid w:val="7CB22F87"/>
    <w:rsid w:val="7D3C3090"/>
    <w:rsid w:val="7D8D975B"/>
    <w:rsid w:val="7DC3DC44"/>
    <w:rsid w:val="7E3B6B76"/>
    <w:rsid w:val="7E3CCAD6"/>
    <w:rsid w:val="7E5DE1BE"/>
    <w:rsid w:val="7E6279A2"/>
    <w:rsid w:val="7E98E381"/>
    <w:rsid w:val="7F2B8E6B"/>
    <w:rsid w:val="7F5174A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885F3C"/>
  <w15:docId w15:val="{27F337A5-5D3F-41D4-A56E-0365BA69B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225B"/>
    <w:pPr>
      <w:spacing w:after="0" w:line="240" w:lineRule="auto"/>
    </w:pPr>
    <w:rPr>
      <w:rFonts w:ascii="Times New Roman" w:eastAsia="Times New Roman" w:hAnsi="Times New Roman" w:cs="Times New Roman"/>
      <w:sz w:val="24"/>
      <w:szCs w:val="24"/>
      <w:lang w:val="fr-FR" w:eastAsia="fr-FR"/>
    </w:rPr>
  </w:style>
  <w:style w:type="paragraph" w:styleId="Heading1">
    <w:name w:val="heading 1"/>
    <w:next w:val="BodyText"/>
    <w:link w:val="Heading1Char"/>
    <w:qFormat/>
    <w:rsid w:val="00E8699A"/>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next w:val="BodyText"/>
    <w:link w:val="Heading2Char"/>
    <w:uiPriority w:val="9"/>
    <w:qFormat/>
    <w:rsid w:val="00E8699A"/>
    <w:pPr>
      <w:keepNext/>
      <w:spacing w:before="140" w:after="140" w:line="280" w:lineRule="atLeast"/>
      <w:outlineLvl w:val="1"/>
    </w:pPr>
    <w:rPr>
      <w:rFonts w:ascii="Calibri" w:eastAsia="Times New Roman" w:hAnsi="Calibri" w:cs="Times New Roman"/>
      <w:noProof/>
      <w:sz w:val="28"/>
      <w:szCs w:val="20"/>
      <w:lang w:val="en-US"/>
    </w:rPr>
  </w:style>
  <w:style w:type="paragraph" w:styleId="Heading3">
    <w:name w:val="heading 3"/>
    <w:basedOn w:val="Normal"/>
    <w:next w:val="Normal"/>
    <w:link w:val="Heading3Char"/>
    <w:unhideWhenUsed/>
    <w:qFormat/>
    <w:rsid w:val="00666765"/>
    <w:pPr>
      <w:keepNext/>
      <w:keepLines/>
      <w:spacing w:before="200" w:line="259" w:lineRule="auto"/>
      <w:jc w:val="both"/>
      <w:outlineLvl w:val="2"/>
    </w:pPr>
    <w:rPr>
      <w:rFonts w:ascii="Calibri" w:eastAsiaTheme="majorEastAsia" w:hAnsi="Calibri" w:cstheme="majorBidi"/>
      <w:b/>
      <w:bCs/>
      <w:szCs w:val="22"/>
      <w:lang w:val="fi-FI" w:eastAsia="en-US"/>
    </w:rPr>
  </w:style>
  <w:style w:type="paragraph" w:styleId="Heading4">
    <w:name w:val="heading 4"/>
    <w:basedOn w:val="Normal"/>
    <w:next w:val="Normal"/>
    <w:link w:val="Heading4Char"/>
    <w:uiPriority w:val="9"/>
    <w:semiHidden/>
    <w:unhideWhenUsed/>
    <w:qFormat/>
    <w:rsid w:val="003C6090"/>
    <w:pPr>
      <w:keepNext/>
      <w:keepLines/>
      <w:spacing w:before="200" w:line="259" w:lineRule="auto"/>
      <w:jc w:val="both"/>
      <w:outlineLvl w:val="3"/>
    </w:pPr>
    <w:rPr>
      <w:rFonts w:ascii="Cambria" w:eastAsia="MS Gothic" w:hAnsi="Cambria"/>
      <w:i/>
      <w:iCs/>
      <w:color w:val="365F91"/>
      <w:sz w:val="22"/>
      <w:szCs w:val="20"/>
      <w:lang w:val="de-DE" w:eastAsia="en-GB"/>
    </w:rPr>
  </w:style>
  <w:style w:type="paragraph" w:styleId="Heading5">
    <w:name w:val="heading 5"/>
    <w:basedOn w:val="Normal"/>
    <w:next w:val="Normal"/>
    <w:link w:val="Heading5Char"/>
    <w:uiPriority w:val="9"/>
    <w:semiHidden/>
    <w:unhideWhenUsed/>
    <w:qFormat/>
    <w:rsid w:val="00BF7B5C"/>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3C7661"/>
    <w:pPr>
      <w:spacing w:after="120"/>
      <w:jc w:val="both"/>
    </w:pPr>
    <w:rPr>
      <w:rFonts w:asciiTheme="minorHAnsi" w:eastAsiaTheme="minorHAnsi" w:hAnsiTheme="minorHAnsi" w:cstheme="minorBidi"/>
      <w:sz w:val="22"/>
      <w:szCs w:val="22"/>
      <w:lang w:val="fi-FI" w:eastAsia="en-US"/>
    </w:rPr>
  </w:style>
  <w:style w:type="character" w:customStyle="1" w:styleId="BodyTextChar">
    <w:name w:val="Body Text Char"/>
    <w:basedOn w:val="DefaultParagraphFont"/>
    <w:link w:val="BodyText"/>
    <w:rsid w:val="003C7661"/>
  </w:style>
  <w:style w:type="paragraph" w:styleId="Header">
    <w:name w:val="header"/>
    <w:aliases w:val="Header1"/>
    <w:basedOn w:val="Normal"/>
    <w:link w:val="Head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HeaderChar">
    <w:name w:val="Header Char"/>
    <w:aliases w:val="Header1 Char"/>
    <w:basedOn w:val="DefaultParagraphFont"/>
    <w:link w:val="Header"/>
    <w:uiPriority w:val="99"/>
    <w:rsid w:val="00FB113B"/>
  </w:style>
  <w:style w:type="paragraph" w:styleId="Footer">
    <w:name w:val="footer"/>
    <w:aliases w:val="Footer1"/>
    <w:basedOn w:val="Normal"/>
    <w:link w:val="Foot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FooterChar">
    <w:name w:val="Footer Char"/>
    <w:aliases w:val="Footer1 Char"/>
    <w:basedOn w:val="DefaultParagraphFont"/>
    <w:link w:val="Footer"/>
    <w:uiPriority w:val="99"/>
    <w:rsid w:val="00FB113B"/>
  </w:style>
  <w:style w:type="paragraph" w:styleId="ListParagraph">
    <w:name w:val="List Paragraph"/>
    <w:aliases w:val="Dot pt,List Paragraph1,Heading 2_sj,Listenabsatz1,_Bullet"/>
    <w:basedOn w:val="Normal"/>
    <w:link w:val="ListParagraphChar"/>
    <w:uiPriority w:val="34"/>
    <w:qFormat/>
    <w:rsid w:val="00814316"/>
    <w:pPr>
      <w:contextualSpacing/>
      <w:jc w:val="both"/>
    </w:pPr>
    <w:rPr>
      <w:rFonts w:ascii="Calibri" w:eastAsiaTheme="minorHAnsi" w:hAnsi="Calibri"/>
      <w:sz w:val="22"/>
      <w:lang w:val="en-GB" w:eastAsia="en-GB"/>
    </w:rPr>
  </w:style>
  <w:style w:type="character" w:customStyle="1" w:styleId="Heading1Char">
    <w:name w:val="Heading 1 Char"/>
    <w:basedOn w:val="DefaultParagraphFont"/>
    <w:link w:val="Heading1"/>
    <w:rsid w:val="00E8699A"/>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uiPriority w:val="9"/>
    <w:rsid w:val="00E8699A"/>
    <w:rPr>
      <w:rFonts w:ascii="Calibri" w:eastAsia="Times New Roman" w:hAnsi="Calibri" w:cs="Times New Roman"/>
      <w:noProof/>
      <w:sz w:val="28"/>
      <w:szCs w:val="20"/>
      <w:lang w:val="en-US"/>
    </w:rPr>
  </w:style>
  <w:style w:type="character" w:styleId="CommentReference">
    <w:name w:val="annotation reference"/>
    <w:basedOn w:val="DefaultParagraphFont"/>
    <w:uiPriority w:val="99"/>
    <w:semiHidden/>
    <w:unhideWhenUsed/>
    <w:rsid w:val="005005D0"/>
    <w:rPr>
      <w:sz w:val="16"/>
      <w:szCs w:val="16"/>
    </w:rPr>
  </w:style>
  <w:style w:type="paragraph" w:styleId="CommentText">
    <w:name w:val="annotation text"/>
    <w:basedOn w:val="Normal"/>
    <w:link w:val="CommentTextChar"/>
    <w:uiPriority w:val="99"/>
    <w:unhideWhenUsed/>
    <w:rsid w:val="005005D0"/>
    <w:pPr>
      <w:spacing w:after="160"/>
      <w:jc w:val="both"/>
    </w:pPr>
    <w:rPr>
      <w:rFonts w:asciiTheme="minorHAnsi" w:eastAsiaTheme="minorHAnsi" w:hAnsiTheme="minorHAnsi" w:cstheme="minorBidi"/>
      <w:sz w:val="20"/>
      <w:szCs w:val="20"/>
      <w:lang w:val="fi-FI" w:eastAsia="en-US"/>
    </w:rPr>
  </w:style>
  <w:style w:type="character" w:customStyle="1" w:styleId="CommentTextChar">
    <w:name w:val="Comment Text Char"/>
    <w:basedOn w:val="DefaultParagraphFont"/>
    <w:link w:val="CommentText"/>
    <w:uiPriority w:val="99"/>
    <w:rsid w:val="005005D0"/>
    <w:rPr>
      <w:sz w:val="20"/>
      <w:szCs w:val="20"/>
    </w:rPr>
  </w:style>
  <w:style w:type="paragraph" w:styleId="CommentSubject">
    <w:name w:val="annotation subject"/>
    <w:basedOn w:val="CommentText"/>
    <w:next w:val="CommentText"/>
    <w:link w:val="CommentSubjectChar"/>
    <w:uiPriority w:val="99"/>
    <w:semiHidden/>
    <w:unhideWhenUsed/>
    <w:rsid w:val="005005D0"/>
    <w:rPr>
      <w:b/>
      <w:bCs/>
    </w:rPr>
  </w:style>
  <w:style w:type="character" w:customStyle="1" w:styleId="CommentSubjectChar">
    <w:name w:val="Comment Subject Char"/>
    <w:basedOn w:val="CommentTextChar"/>
    <w:link w:val="CommentSubject"/>
    <w:uiPriority w:val="99"/>
    <w:semiHidden/>
    <w:rsid w:val="005005D0"/>
    <w:rPr>
      <w:b/>
      <w:bCs/>
      <w:sz w:val="20"/>
      <w:szCs w:val="20"/>
    </w:rPr>
  </w:style>
  <w:style w:type="paragraph" w:styleId="BalloonText">
    <w:name w:val="Balloon Text"/>
    <w:basedOn w:val="Normal"/>
    <w:link w:val="BalloonTextChar"/>
    <w:uiPriority w:val="99"/>
    <w:semiHidden/>
    <w:unhideWhenUsed/>
    <w:rsid w:val="005005D0"/>
    <w:pPr>
      <w:jc w:val="both"/>
    </w:pPr>
    <w:rPr>
      <w:rFonts w:ascii="Tahoma" w:eastAsiaTheme="minorHAnsi" w:hAnsi="Tahoma" w:cs="Tahoma"/>
      <w:sz w:val="16"/>
      <w:szCs w:val="16"/>
      <w:lang w:val="fi-FI" w:eastAsia="en-US"/>
    </w:rPr>
  </w:style>
  <w:style w:type="character" w:customStyle="1" w:styleId="BalloonTextChar">
    <w:name w:val="Balloon Text Char"/>
    <w:basedOn w:val="DefaultParagraphFont"/>
    <w:link w:val="BalloonText"/>
    <w:uiPriority w:val="99"/>
    <w:semiHidden/>
    <w:rsid w:val="005005D0"/>
    <w:rPr>
      <w:rFonts w:ascii="Tahoma" w:hAnsi="Tahoma" w:cs="Tahoma"/>
      <w:sz w:val="16"/>
      <w:szCs w:val="16"/>
    </w:rPr>
  </w:style>
  <w:style w:type="character" w:styleId="Hyperlink">
    <w:name w:val="Hyperlink"/>
    <w:basedOn w:val="DefaultParagraphFont"/>
    <w:uiPriority w:val="99"/>
    <w:unhideWhenUsed/>
    <w:rsid w:val="00175B75"/>
    <w:rPr>
      <w:color w:val="0000FF" w:themeColor="hyperlink"/>
      <w:u w:val="single"/>
    </w:rPr>
  </w:style>
  <w:style w:type="table" w:styleId="TableGrid">
    <w:name w:val="Table Grid"/>
    <w:basedOn w:val="TableNormal"/>
    <w:uiPriority w:val="59"/>
    <w:rsid w:val="00390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2940CA"/>
    <w:pPr>
      <w:jc w:val="both"/>
    </w:pPr>
    <w:rPr>
      <w:rFonts w:asciiTheme="minorHAnsi" w:eastAsiaTheme="minorHAnsi" w:hAnsiTheme="minorHAnsi" w:cstheme="minorBidi"/>
      <w:sz w:val="20"/>
      <w:szCs w:val="20"/>
      <w:lang w:val="fi-FI" w:eastAsia="en-US"/>
    </w:rPr>
  </w:style>
  <w:style w:type="character" w:customStyle="1" w:styleId="EndnoteTextChar">
    <w:name w:val="Endnote Text Char"/>
    <w:basedOn w:val="DefaultParagraphFont"/>
    <w:link w:val="EndnoteText"/>
    <w:semiHidden/>
    <w:rsid w:val="002940CA"/>
    <w:rPr>
      <w:sz w:val="20"/>
      <w:szCs w:val="20"/>
    </w:rPr>
  </w:style>
  <w:style w:type="character" w:styleId="EndnoteReference">
    <w:name w:val="endnote reference"/>
    <w:basedOn w:val="DefaultParagraphFont"/>
    <w:uiPriority w:val="99"/>
    <w:semiHidden/>
    <w:unhideWhenUsed/>
    <w:rsid w:val="002940CA"/>
    <w:rPr>
      <w:vertAlign w:val="superscript"/>
    </w:rPr>
  </w:style>
  <w:style w:type="paragraph" w:styleId="FootnoteText">
    <w:name w:val="footnote text"/>
    <w:aliases w:val="Ftnote Txt 11ptG"/>
    <w:basedOn w:val="Normal"/>
    <w:link w:val="FootnoteTextChar"/>
    <w:unhideWhenUsed/>
    <w:rsid w:val="002940CA"/>
    <w:pPr>
      <w:jc w:val="both"/>
    </w:pPr>
    <w:rPr>
      <w:rFonts w:asciiTheme="minorHAnsi" w:eastAsiaTheme="minorHAnsi" w:hAnsiTheme="minorHAnsi" w:cstheme="minorBidi"/>
      <w:sz w:val="20"/>
      <w:szCs w:val="20"/>
      <w:lang w:val="fi-FI" w:eastAsia="en-US"/>
    </w:rPr>
  </w:style>
  <w:style w:type="character" w:customStyle="1" w:styleId="FootnoteTextChar">
    <w:name w:val="Footnote Text Char"/>
    <w:aliases w:val="Ftnote Txt 11ptG Char"/>
    <w:basedOn w:val="DefaultParagraphFont"/>
    <w:link w:val="FootnoteText"/>
    <w:rsid w:val="002940CA"/>
    <w:rPr>
      <w:sz w:val="20"/>
      <w:szCs w:val="20"/>
    </w:rPr>
  </w:style>
  <w:style w:type="character" w:styleId="FootnoteReference">
    <w:name w:val="footnote reference"/>
    <w:aliases w:val="stylish"/>
    <w:basedOn w:val="DefaultParagraphFont"/>
    <w:unhideWhenUsed/>
    <w:rsid w:val="002940CA"/>
    <w:rPr>
      <w:vertAlign w:val="superscript"/>
    </w:rPr>
  </w:style>
  <w:style w:type="character" w:customStyle="1" w:styleId="Heading3Char">
    <w:name w:val="Heading 3 Char"/>
    <w:basedOn w:val="DefaultParagraphFont"/>
    <w:link w:val="Heading3"/>
    <w:rsid w:val="00666765"/>
    <w:rPr>
      <w:rFonts w:ascii="Calibri" w:eastAsiaTheme="majorEastAsia" w:hAnsi="Calibri" w:cstheme="majorBidi"/>
      <w:b/>
      <w:bCs/>
      <w:sz w:val="24"/>
      <w:lang w:val="fi-FI"/>
    </w:rPr>
  </w:style>
  <w:style w:type="paragraph" w:customStyle="1" w:styleId="Default">
    <w:name w:val="Default"/>
    <w:rsid w:val="00892D2D"/>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892D2D"/>
    <w:pPr>
      <w:spacing w:after="200"/>
      <w:jc w:val="both"/>
    </w:pPr>
    <w:rPr>
      <w:rFonts w:asciiTheme="minorHAnsi" w:eastAsiaTheme="minorHAnsi" w:hAnsiTheme="minorHAnsi" w:cstheme="minorBidi"/>
      <w:i/>
      <w:iCs/>
      <w:color w:val="1F497D" w:themeColor="text2"/>
      <w:sz w:val="18"/>
      <w:szCs w:val="18"/>
      <w:lang w:val="fi-FI" w:eastAsia="en-US"/>
    </w:rPr>
  </w:style>
  <w:style w:type="paragraph" w:customStyle="1" w:styleId="Backround">
    <w:name w:val="Backround"/>
    <w:basedOn w:val="Normal"/>
    <w:rsid w:val="00892D2D"/>
    <w:pPr>
      <w:jc w:val="both"/>
    </w:pPr>
    <w:rPr>
      <w:rFonts w:ascii="Arial" w:hAnsi="Arial"/>
      <w:sz w:val="22"/>
      <w:lang w:val="en-GB" w:eastAsia="en-US"/>
    </w:rPr>
  </w:style>
  <w:style w:type="character" w:styleId="Strong">
    <w:name w:val="Strong"/>
    <w:basedOn w:val="DefaultParagraphFont"/>
    <w:uiPriority w:val="22"/>
    <w:qFormat/>
    <w:rsid w:val="00892D2D"/>
    <w:rPr>
      <w:b/>
      <w:bCs/>
    </w:rPr>
  </w:style>
  <w:style w:type="character" w:styleId="Emphasis">
    <w:name w:val="Emphasis"/>
    <w:basedOn w:val="DefaultParagraphFont"/>
    <w:uiPriority w:val="20"/>
    <w:qFormat/>
    <w:rsid w:val="00892D2D"/>
    <w:rPr>
      <w:i/>
      <w:iCs/>
    </w:rPr>
  </w:style>
  <w:style w:type="character" w:customStyle="1" w:styleId="apple-converted-space">
    <w:name w:val="apple-converted-space"/>
    <w:basedOn w:val="DefaultParagraphFont"/>
    <w:rsid w:val="00892D2D"/>
  </w:style>
  <w:style w:type="paragraph" w:customStyle="1" w:styleId="Agendaitem-main">
    <w:name w:val="Agenda item - main"/>
    <w:basedOn w:val="Header"/>
    <w:link w:val="Agendaitem-mainChar"/>
    <w:rsid w:val="001A2415"/>
    <w:pPr>
      <w:tabs>
        <w:tab w:val="clear" w:pos="4536"/>
        <w:tab w:val="clear" w:pos="9072"/>
      </w:tabs>
      <w:spacing w:after="40"/>
      <w:ind w:left="720" w:hanging="720"/>
    </w:pPr>
    <w:rPr>
      <w:rFonts w:ascii="Arial" w:eastAsia="Times New Roman" w:hAnsi="Arial" w:cs="Times New Roman"/>
      <w:b/>
      <w:szCs w:val="20"/>
      <w:lang w:val="en-GB" w:eastAsia="en-GB"/>
    </w:rPr>
  </w:style>
  <w:style w:type="character" w:customStyle="1" w:styleId="Agendaitem-mainChar">
    <w:name w:val="Agenda item - main Char"/>
    <w:link w:val="Agendaitem-main"/>
    <w:rsid w:val="001A2415"/>
    <w:rPr>
      <w:rFonts w:ascii="Arial" w:eastAsia="Times New Roman" w:hAnsi="Arial" w:cs="Times New Roman"/>
      <w:b/>
      <w:szCs w:val="20"/>
      <w:lang w:val="en-GB" w:eastAsia="en-GB"/>
    </w:rPr>
  </w:style>
  <w:style w:type="paragraph" w:customStyle="1" w:styleId="Docheader">
    <w:name w:val="Doc header"/>
    <w:basedOn w:val="Normal"/>
    <w:rsid w:val="00010942"/>
    <w:pPr>
      <w:tabs>
        <w:tab w:val="left" w:pos="567"/>
      </w:tabs>
      <w:spacing w:line="280" w:lineRule="exact"/>
      <w:jc w:val="both"/>
    </w:pPr>
    <w:rPr>
      <w:rFonts w:ascii="Arial" w:hAnsi="Arial"/>
      <w:szCs w:val="20"/>
      <w:lang w:val="en-US" w:eastAsia="en-US"/>
    </w:rPr>
  </w:style>
  <w:style w:type="paragraph" w:customStyle="1" w:styleId="BodyText1">
    <w:name w:val="Body Text1"/>
    <w:rsid w:val="00A44C49"/>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Heading 2_sj Char,Listenabsatz1 Char,_Bullet Char"/>
    <w:link w:val="ListParagraph"/>
    <w:uiPriority w:val="34"/>
    <w:qFormat/>
    <w:locked/>
    <w:rsid w:val="00814316"/>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3C6090"/>
    <w:pPr>
      <w:keepNext/>
      <w:keepLines/>
      <w:tabs>
        <w:tab w:val="left" w:pos="567"/>
        <w:tab w:val="left" w:pos="1134"/>
        <w:tab w:val="left" w:pos="1701"/>
        <w:tab w:val="left" w:pos="2268"/>
      </w:tabs>
      <w:spacing w:before="40"/>
      <w:jc w:val="both"/>
      <w:outlineLvl w:val="3"/>
    </w:pPr>
    <w:rPr>
      <w:rFonts w:ascii="Cambria" w:eastAsia="MS Gothic" w:hAnsi="Cambria"/>
      <w:i/>
      <w:iCs/>
      <w:color w:val="365F91"/>
      <w:sz w:val="22"/>
      <w:szCs w:val="20"/>
      <w:lang w:val="en-GB" w:eastAsia="en-GB"/>
    </w:rPr>
  </w:style>
  <w:style w:type="character" w:styleId="UnresolvedMention">
    <w:name w:val="Unresolved Mention"/>
    <w:basedOn w:val="DefaultParagraphFont"/>
    <w:uiPriority w:val="99"/>
    <w:semiHidden/>
    <w:unhideWhenUsed/>
    <w:rsid w:val="00CA2A31"/>
    <w:rPr>
      <w:color w:val="605E5C"/>
      <w:shd w:val="clear" w:color="auto" w:fill="E1DFDD"/>
    </w:rPr>
  </w:style>
  <w:style w:type="character" w:customStyle="1" w:styleId="Heading4Char">
    <w:name w:val="Heading 4 Char"/>
    <w:basedOn w:val="DefaultParagraphFont"/>
    <w:link w:val="Heading4"/>
    <w:uiPriority w:val="9"/>
    <w:semiHidden/>
    <w:rsid w:val="003C6090"/>
    <w:rPr>
      <w:rFonts w:ascii="Cambria" w:eastAsia="MS Gothic" w:hAnsi="Cambria" w:cs="Times New Roman"/>
      <w:i/>
      <w:iCs/>
      <w:color w:val="365F91"/>
      <w:szCs w:val="20"/>
      <w:lang w:eastAsia="en-GB"/>
    </w:rPr>
  </w:style>
  <w:style w:type="character" w:styleId="PageNumber">
    <w:name w:val="page number"/>
    <w:basedOn w:val="DefaultParagraphFont"/>
    <w:uiPriority w:val="99"/>
    <w:rsid w:val="003C6090"/>
  </w:style>
  <w:style w:type="paragraph" w:styleId="Title">
    <w:name w:val="Title"/>
    <w:basedOn w:val="Normal"/>
    <w:link w:val="TitleChar"/>
    <w:qFormat/>
    <w:rsid w:val="003C6090"/>
    <w:pPr>
      <w:spacing w:before="240" w:after="240" w:line="276" w:lineRule="auto"/>
      <w:jc w:val="both"/>
      <w:outlineLvl w:val="0"/>
    </w:pPr>
    <w:rPr>
      <w:rFonts w:ascii="Calibri" w:eastAsiaTheme="minorHAnsi" w:hAnsi="Calibri" w:cs="Arial"/>
      <w:kern w:val="28"/>
      <w:sz w:val="40"/>
      <w:szCs w:val="22"/>
      <w:lang w:val="en-GB" w:eastAsia="en-US"/>
    </w:rPr>
  </w:style>
  <w:style w:type="character" w:customStyle="1" w:styleId="TitleChar">
    <w:name w:val="Title Char"/>
    <w:basedOn w:val="DefaultParagraphFont"/>
    <w:link w:val="Title"/>
    <w:rsid w:val="003C6090"/>
    <w:rPr>
      <w:rFonts w:ascii="Calibri" w:hAnsi="Calibri" w:cs="Arial"/>
      <w:kern w:val="28"/>
      <w:sz w:val="40"/>
      <w:lang w:val="en-GB"/>
    </w:rPr>
  </w:style>
  <w:style w:type="paragraph" w:styleId="NoSpacing">
    <w:name w:val="No Spacing"/>
    <w:uiPriority w:val="1"/>
    <w:qFormat/>
    <w:rsid w:val="003C6090"/>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3C6090"/>
    <w:pPr>
      <w:jc w:val="both"/>
    </w:pPr>
    <w:rPr>
      <w:rFonts w:ascii="Calibri" w:hAnsi="Calibri"/>
      <w:sz w:val="22"/>
      <w:szCs w:val="21"/>
      <w:lang w:val="es-ES" w:eastAsia="en-US"/>
    </w:rPr>
  </w:style>
  <w:style w:type="character" w:customStyle="1" w:styleId="PlainTextChar">
    <w:name w:val="Plain Text Char"/>
    <w:basedOn w:val="DefaultParagraphFont"/>
    <w:link w:val="PlainText"/>
    <w:uiPriority w:val="99"/>
    <w:rsid w:val="003C6090"/>
    <w:rPr>
      <w:rFonts w:ascii="Calibri" w:eastAsia="Times New Roman" w:hAnsi="Calibri" w:cs="Times New Roman"/>
      <w:szCs w:val="21"/>
      <w:lang w:val="es-ES"/>
    </w:rPr>
  </w:style>
  <w:style w:type="paragraph" w:styleId="Revision">
    <w:name w:val="Revision"/>
    <w:hidden/>
    <w:uiPriority w:val="99"/>
    <w:semiHidden/>
    <w:rsid w:val="003C6090"/>
    <w:pPr>
      <w:spacing w:after="0" w:line="240" w:lineRule="auto"/>
    </w:pPr>
    <w:rPr>
      <w:lang w:val="en-GB"/>
    </w:rPr>
  </w:style>
  <w:style w:type="character" w:styleId="BookTitle">
    <w:name w:val="Book Title"/>
    <w:basedOn w:val="DefaultParagraphFont"/>
    <w:uiPriority w:val="33"/>
    <w:qFormat/>
    <w:rsid w:val="003C6090"/>
    <w:rPr>
      <w:b/>
      <w:bCs/>
      <w:smallCaps/>
      <w:spacing w:val="5"/>
    </w:rPr>
  </w:style>
  <w:style w:type="paragraph" w:customStyle="1" w:styleId="TOC21">
    <w:name w:val="TOC 21"/>
    <w:next w:val="Normal"/>
    <w:autoRedefine/>
    <w:uiPriority w:val="39"/>
    <w:rsid w:val="003C6090"/>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3C6090"/>
    <w:pPr>
      <w:spacing w:after="0"/>
      <w:ind w:left="440"/>
    </w:pPr>
    <w:rPr>
      <w:rFonts w:eastAsia="Times New Roman" w:cs="Calibri"/>
      <w:sz w:val="20"/>
      <w:szCs w:val="20"/>
      <w:lang w:val="en-GB" w:eastAsia="en-GB"/>
    </w:rPr>
  </w:style>
  <w:style w:type="paragraph" w:customStyle="1" w:styleId="Address">
    <w:name w:val="Address"/>
    <w:rsid w:val="003C6090"/>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3C6090"/>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3C6090"/>
    <w:pPr>
      <w:numPr>
        <w:numId w:val="2"/>
      </w:numPr>
      <w:tabs>
        <w:tab w:val="clear" w:pos="360"/>
        <w:tab w:val="left" w:pos="567"/>
        <w:tab w:val="left" w:pos="1134"/>
        <w:tab w:val="left" w:pos="1701"/>
        <w:tab w:val="left" w:pos="2268"/>
      </w:tabs>
      <w:spacing w:after="140"/>
      <w:ind w:left="588" w:hanging="360"/>
      <w:jc w:val="both"/>
    </w:pPr>
    <w:rPr>
      <w:rFonts w:asciiTheme="minorHAnsi" w:hAnsiTheme="minorHAnsi" w:cstheme="minorBidi"/>
      <w:sz w:val="22"/>
      <w:szCs w:val="20"/>
      <w:lang w:val="en-GB" w:eastAsia="en-GB"/>
    </w:rPr>
  </w:style>
  <w:style w:type="paragraph" w:styleId="ListNumber">
    <w:name w:val="List Number"/>
    <w:basedOn w:val="Normal"/>
    <w:semiHidden/>
    <w:rsid w:val="003C6090"/>
    <w:pPr>
      <w:numPr>
        <w:numId w:val="3"/>
      </w:numPr>
      <w:tabs>
        <w:tab w:val="clear" w:pos="360"/>
        <w:tab w:val="left" w:pos="567"/>
        <w:tab w:val="left" w:pos="1134"/>
        <w:tab w:val="left" w:pos="1701"/>
        <w:tab w:val="left" w:pos="2268"/>
      </w:tabs>
      <w:spacing w:after="140"/>
      <w:ind w:left="720"/>
      <w:jc w:val="both"/>
    </w:pPr>
    <w:rPr>
      <w:rFonts w:asciiTheme="minorHAnsi" w:hAnsiTheme="minorHAnsi" w:cstheme="minorBidi"/>
      <w:sz w:val="22"/>
      <w:szCs w:val="20"/>
      <w:lang w:val="en-GB" w:eastAsia="en-GB"/>
    </w:rPr>
  </w:style>
  <w:style w:type="table" w:customStyle="1" w:styleId="TableGrid1">
    <w:name w:val="Table Grid1"/>
    <w:basedOn w:val="TableNormal"/>
    <w:next w:val="TableGrid"/>
    <w:uiPriority w:val="59"/>
    <w:rsid w:val="003C6090"/>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3C6090"/>
    <w:pPr>
      <w:spacing w:before="100" w:beforeAutospacing="1" w:after="100" w:afterAutospacing="1"/>
      <w:jc w:val="both"/>
    </w:pPr>
    <w:rPr>
      <w:rFonts w:asciiTheme="minorHAnsi" w:hAnsiTheme="minorHAnsi" w:cstheme="minorBidi"/>
      <w:b/>
      <w:sz w:val="28"/>
      <w:lang w:val="en-GB" w:eastAsia="en-GB"/>
    </w:rPr>
  </w:style>
  <w:style w:type="paragraph" w:customStyle="1" w:styleId="TOCHeading1">
    <w:name w:val="TOC Heading1"/>
    <w:basedOn w:val="Heading1"/>
    <w:next w:val="Normal"/>
    <w:uiPriority w:val="39"/>
    <w:unhideWhenUsed/>
    <w:qFormat/>
    <w:rsid w:val="003C6090"/>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3C6090"/>
    <w:pPr>
      <w:tabs>
        <w:tab w:val="left" w:pos="440"/>
        <w:tab w:val="right" w:leader="dot" w:pos="9632"/>
      </w:tabs>
      <w:spacing w:before="240" w:after="120"/>
      <w:jc w:val="both"/>
    </w:pPr>
    <w:rPr>
      <w:rFonts w:asciiTheme="minorHAnsi" w:hAnsiTheme="minorHAnsi" w:cs="Calibri"/>
      <w:b/>
      <w:bCs/>
      <w:sz w:val="20"/>
      <w:szCs w:val="20"/>
      <w:lang w:val="en-GB" w:eastAsia="en-GB"/>
    </w:rPr>
  </w:style>
  <w:style w:type="paragraph" w:customStyle="1" w:styleId="TOC51">
    <w:name w:val="TOC 51"/>
    <w:basedOn w:val="Normal"/>
    <w:next w:val="Normal"/>
    <w:autoRedefine/>
    <w:uiPriority w:val="39"/>
    <w:unhideWhenUsed/>
    <w:rsid w:val="003C6090"/>
    <w:pPr>
      <w:ind w:left="880"/>
      <w:jc w:val="both"/>
    </w:pPr>
    <w:rPr>
      <w:rFonts w:asciiTheme="minorHAnsi" w:hAnsiTheme="minorHAnsi" w:cs="Calibri"/>
      <w:sz w:val="20"/>
      <w:szCs w:val="20"/>
      <w:lang w:val="en-GB" w:eastAsia="en-GB"/>
    </w:rPr>
  </w:style>
  <w:style w:type="paragraph" w:customStyle="1" w:styleId="TOC61">
    <w:name w:val="TOC 61"/>
    <w:basedOn w:val="Normal"/>
    <w:next w:val="Normal"/>
    <w:autoRedefine/>
    <w:uiPriority w:val="39"/>
    <w:unhideWhenUsed/>
    <w:rsid w:val="003C6090"/>
    <w:pPr>
      <w:ind w:left="1100"/>
      <w:jc w:val="both"/>
    </w:pPr>
    <w:rPr>
      <w:rFonts w:asciiTheme="minorHAnsi" w:hAnsiTheme="minorHAnsi" w:cs="Calibri"/>
      <w:sz w:val="20"/>
      <w:szCs w:val="20"/>
      <w:lang w:val="en-GB" w:eastAsia="en-GB"/>
    </w:rPr>
  </w:style>
  <w:style w:type="paragraph" w:customStyle="1" w:styleId="TOC71">
    <w:name w:val="TOC 71"/>
    <w:basedOn w:val="Normal"/>
    <w:next w:val="Normal"/>
    <w:autoRedefine/>
    <w:uiPriority w:val="39"/>
    <w:unhideWhenUsed/>
    <w:rsid w:val="003C6090"/>
    <w:pPr>
      <w:ind w:left="1320"/>
      <w:jc w:val="both"/>
    </w:pPr>
    <w:rPr>
      <w:rFonts w:asciiTheme="minorHAnsi" w:hAnsiTheme="minorHAnsi" w:cs="Calibri"/>
      <w:sz w:val="20"/>
      <w:szCs w:val="20"/>
      <w:lang w:val="en-GB" w:eastAsia="en-GB"/>
    </w:rPr>
  </w:style>
  <w:style w:type="paragraph" w:customStyle="1" w:styleId="TOC81">
    <w:name w:val="TOC 81"/>
    <w:basedOn w:val="Normal"/>
    <w:next w:val="Normal"/>
    <w:autoRedefine/>
    <w:uiPriority w:val="39"/>
    <w:unhideWhenUsed/>
    <w:rsid w:val="003C6090"/>
    <w:pPr>
      <w:ind w:left="1540"/>
      <w:jc w:val="both"/>
    </w:pPr>
    <w:rPr>
      <w:rFonts w:asciiTheme="minorHAnsi" w:hAnsiTheme="minorHAnsi" w:cs="Calibri"/>
      <w:sz w:val="20"/>
      <w:szCs w:val="20"/>
      <w:lang w:val="en-GB" w:eastAsia="en-GB"/>
    </w:rPr>
  </w:style>
  <w:style w:type="paragraph" w:customStyle="1" w:styleId="TOC91">
    <w:name w:val="TOC 91"/>
    <w:basedOn w:val="Normal"/>
    <w:next w:val="Normal"/>
    <w:autoRedefine/>
    <w:uiPriority w:val="39"/>
    <w:unhideWhenUsed/>
    <w:rsid w:val="003C6090"/>
    <w:pPr>
      <w:ind w:left="1760"/>
      <w:jc w:val="both"/>
    </w:pPr>
    <w:rPr>
      <w:rFonts w:asciiTheme="minorHAnsi" w:hAnsiTheme="minorHAnsi" w:cs="Calibri"/>
      <w:sz w:val="20"/>
      <w:szCs w:val="20"/>
      <w:lang w:val="en-GB" w:eastAsia="en-GB"/>
    </w:rPr>
  </w:style>
  <w:style w:type="table" w:customStyle="1" w:styleId="GridTable1Light-Accent13">
    <w:name w:val="Grid Table 1 Light - Accent 13"/>
    <w:basedOn w:val="TableNormal"/>
    <w:uiPriority w:val="46"/>
    <w:rsid w:val="003C6090"/>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3C6090"/>
    <w:rPr>
      <w:color w:val="800080"/>
      <w:u w:val="single"/>
    </w:rPr>
  </w:style>
  <w:style w:type="character" w:customStyle="1" w:styleId="Heading4Char1">
    <w:name w:val="Heading 4 Char1"/>
    <w:basedOn w:val="DefaultParagraphFont"/>
    <w:uiPriority w:val="9"/>
    <w:semiHidden/>
    <w:rsid w:val="003C6090"/>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3C6090"/>
    <w:rPr>
      <w:color w:val="800080" w:themeColor="followedHyperlink"/>
      <w:u w:val="single"/>
    </w:rPr>
  </w:style>
  <w:style w:type="paragraph" w:styleId="NormalWeb">
    <w:name w:val="Normal (Web)"/>
    <w:basedOn w:val="Normal"/>
    <w:uiPriority w:val="99"/>
    <w:unhideWhenUsed/>
    <w:rsid w:val="00F460AD"/>
    <w:pPr>
      <w:spacing w:before="100" w:beforeAutospacing="1" w:after="100" w:afterAutospacing="1"/>
      <w:jc w:val="both"/>
    </w:pPr>
    <w:rPr>
      <w:lang w:val="en-GB" w:eastAsia="en-GB"/>
    </w:rPr>
  </w:style>
  <w:style w:type="paragraph" w:styleId="TOCHeading">
    <w:name w:val="TOC Heading"/>
    <w:basedOn w:val="Heading1"/>
    <w:next w:val="Normal"/>
    <w:uiPriority w:val="39"/>
    <w:semiHidden/>
    <w:unhideWhenUsed/>
    <w:qFormat/>
    <w:rsid w:val="00E7092E"/>
    <w:pPr>
      <w:keepLines/>
      <w:spacing w:before="480" w:after="0" w:line="276" w:lineRule="auto"/>
      <w:outlineLvl w:val="9"/>
    </w:pPr>
    <w:rPr>
      <w:rFonts w:asciiTheme="majorHAnsi" w:eastAsiaTheme="majorEastAsia" w:hAnsiTheme="majorHAnsi" w:cstheme="majorBidi"/>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E7092E"/>
    <w:pPr>
      <w:spacing w:after="100" w:line="259" w:lineRule="auto"/>
      <w:jc w:val="both"/>
    </w:pPr>
    <w:rPr>
      <w:rFonts w:asciiTheme="minorHAnsi" w:eastAsiaTheme="minorHAnsi" w:hAnsiTheme="minorHAnsi" w:cstheme="minorBidi"/>
      <w:sz w:val="22"/>
      <w:szCs w:val="22"/>
      <w:lang w:val="fi-FI" w:eastAsia="en-US"/>
    </w:rPr>
  </w:style>
  <w:style w:type="paragraph" w:styleId="TOC2">
    <w:name w:val="toc 2"/>
    <w:basedOn w:val="Normal"/>
    <w:next w:val="Normal"/>
    <w:autoRedefine/>
    <w:uiPriority w:val="39"/>
    <w:unhideWhenUsed/>
    <w:rsid w:val="00E7092E"/>
    <w:pPr>
      <w:spacing w:after="100" w:line="259" w:lineRule="auto"/>
      <w:ind w:left="220"/>
      <w:jc w:val="both"/>
    </w:pPr>
    <w:rPr>
      <w:rFonts w:asciiTheme="minorHAnsi" w:eastAsiaTheme="minorHAnsi" w:hAnsiTheme="minorHAnsi" w:cstheme="minorBidi"/>
      <w:sz w:val="22"/>
      <w:szCs w:val="22"/>
      <w:lang w:val="fi-FI" w:eastAsia="en-US"/>
    </w:rPr>
  </w:style>
  <w:style w:type="paragraph" w:styleId="TOC3">
    <w:name w:val="toc 3"/>
    <w:basedOn w:val="Normal"/>
    <w:next w:val="Normal"/>
    <w:autoRedefine/>
    <w:uiPriority w:val="39"/>
    <w:unhideWhenUsed/>
    <w:rsid w:val="00E7092E"/>
    <w:pPr>
      <w:spacing w:after="100" w:line="259" w:lineRule="auto"/>
      <w:ind w:left="440"/>
      <w:jc w:val="both"/>
    </w:pPr>
    <w:rPr>
      <w:rFonts w:asciiTheme="minorHAnsi" w:eastAsiaTheme="minorHAnsi" w:hAnsiTheme="minorHAnsi" w:cstheme="minorBidi"/>
      <w:sz w:val="22"/>
      <w:szCs w:val="22"/>
      <w:lang w:val="fi-FI" w:eastAsia="en-US"/>
    </w:rPr>
  </w:style>
  <w:style w:type="paragraph" w:customStyle="1" w:styleId="CharChar1">
    <w:name w:val="Char Char1"/>
    <w:basedOn w:val="Normal"/>
    <w:rsid w:val="009D4FB3"/>
    <w:pPr>
      <w:spacing w:after="160" w:line="240" w:lineRule="exact"/>
    </w:pPr>
    <w:rPr>
      <w:rFonts w:ascii="Tahoma" w:hAnsi="Tahoma"/>
      <w:sz w:val="20"/>
      <w:szCs w:val="20"/>
      <w:lang w:val="en-US" w:eastAsia="en-US"/>
    </w:rPr>
  </w:style>
  <w:style w:type="paragraph" w:styleId="Subtitle">
    <w:name w:val="Subtitle"/>
    <w:basedOn w:val="Heading1"/>
    <w:next w:val="Normal"/>
    <w:link w:val="SubtitleChar"/>
    <w:qFormat/>
    <w:rsid w:val="006971B9"/>
    <w:rPr>
      <w:rFonts w:ascii="Arial" w:hAnsi="Arial"/>
      <w:b w:val="0"/>
      <w:sz w:val="28"/>
    </w:rPr>
  </w:style>
  <w:style w:type="character" w:customStyle="1" w:styleId="SubtitleChar">
    <w:name w:val="Subtitle Char"/>
    <w:basedOn w:val="DefaultParagraphFont"/>
    <w:link w:val="Subtitle"/>
    <w:rsid w:val="006971B9"/>
    <w:rPr>
      <w:rFonts w:ascii="Arial" w:eastAsia="Times New Roman" w:hAnsi="Arial" w:cs="Times New Roman"/>
      <w:noProof/>
      <w:kern w:val="32"/>
      <w:sz w:val="28"/>
      <w:szCs w:val="20"/>
      <w:lang w:val="en-US"/>
    </w:rPr>
  </w:style>
  <w:style w:type="paragraph" w:customStyle="1" w:styleId="Pa0">
    <w:name w:val="Pa0"/>
    <w:basedOn w:val="Default"/>
    <w:next w:val="Default"/>
    <w:uiPriority w:val="99"/>
    <w:rsid w:val="00602765"/>
    <w:pPr>
      <w:spacing w:line="241" w:lineRule="atLeast"/>
    </w:pPr>
    <w:rPr>
      <w:rFonts w:ascii="Calibri" w:eastAsiaTheme="minorHAnsi" w:hAnsi="Calibri" w:cs="Calibri"/>
      <w:color w:val="auto"/>
      <w:lang w:val="de-DE" w:eastAsia="en-US"/>
    </w:rPr>
  </w:style>
  <w:style w:type="character" w:customStyle="1" w:styleId="A2">
    <w:name w:val="A2"/>
    <w:uiPriority w:val="99"/>
    <w:rsid w:val="00602765"/>
    <w:rPr>
      <w:color w:val="000000"/>
      <w:sz w:val="20"/>
      <w:szCs w:val="20"/>
    </w:rPr>
  </w:style>
  <w:style w:type="paragraph" w:customStyle="1" w:styleId="frfield">
    <w:name w:val="fr_field"/>
    <w:basedOn w:val="Normal"/>
    <w:rsid w:val="00330F51"/>
    <w:pPr>
      <w:spacing w:before="100" w:beforeAutospacing="1" w:after="100" w:afterAutospacing="1"/>
    </w:pPr>
    <w:rPr>
      <w:lang w:val="de-DE" w:eastAsia="de-DE"/>
    </w:rPr>
  </w:style>
  <w:style w:type="character" w:customStyle="1" w:styleId="frlabel">
    <w:name w:val="fr_label"/>
    <w:basedOn w:val="DefaultParagraphFont"/>
    <w:rsid w:val="00330F51"/>
  </w:style>
  <w:style w:type="character" w:customStyle="1" w:styleId="hithilite">
    <w:name w:val="hithilite"/>
    <w:basedOn w:val="DefaultParagraphFont"/>
    <w:rsid w:val="00330F51"/>
  </w:style>
  <w:style w:type="character" w:customStyle="1" w:styleId="sourcetitle">
    <w:name w:val="sourcetitle"/>
    <w:basedOn w:val="DefaultParagraphFont"/>
    <w:rsid w:val="00330F51"/>
  </w:style>
  <w:style w:type="character" w:customStyle="1" w:styleId="UnresolvedMention1">
    <w:name w:val="Unresolved Mention1"/>
    <w:basedOn w:val="DefaultParagraphFont"/>
    <w:uiPriority w:val="99"/>
    <w:semiHidden/>
    <w:unhideWhenUsed/>
    <w:rsid w:val="00817B1F"/>
    <w:rPr>
      <w:color w:val="605E5C"/>
      <w:shd w:val="clear" w:color="auto" w:fill="E1DFDD"/>
    </w:rPr>
  </w:style>
  <w:style w:type="character" w:customStyle="1" w:styleId="red">
    <w:name w:val="red"/>
    <w:basedOn w:val="DefaultParagraphFont"/>
    <w:rsid w:val="00201A0F"/>
  </w:style>
  <w:style w:type="character" w:customStyle="1" w:styleId="linkitalic">
    <w:name w:val="link_italic"/>
    <w:basedOn w:val="DefaultParagraphFont"/>
    <w:rsid w:val="00B9225B"/>
  </w:style>
  <w:style w:type="character" w:customStyle="1" w:styleId="mixed-citation">
    <w:name w:val="mixed-citation"/>
    <w:basedOn w:val="DefaultParagraphFont"/>
    <w:rsid w:val="00BE0FB2"/>
  </w:style>
  <w:style w:type="character" w:customStyle="1" w:styleId="ref-title">
    <w:name w:val="ref-title"/>
    <w:basedOn w:val="DefaultParagraphFont"/>
    <w:rsid w:val="00BE0FB2"/>
  </w:style>
  <w:style w:type="character" w:customStyle="1" w:styleId="ref-journal">
    <w:name w:val="ref-journal"/>
    <w:basedOn w:val="DefaultParagraphFont"/>
    <w:rsid w:val="00BE0FB2"/>
  </w:style>
  <w:style w:type="character" w:customStyle="1" w:styleId="ref-vol">
    <w:name w:val="ref-vol"/>
    <w:basedOn w:val="DefaultParagraphFont"/>
    <w:rsid w:val="00BE0FB2"/>
  </w:style>
  <w:style w:type="paragraph" w:customStyle="1" w:styleId="western">
    <w:name w:val="western"/>
    <w:basedOn w:val="Normal"/>
    <w:rsid w:val="00FD0E2A"/>
    <w:pPr>
      <w:spacing w:before="100" w:beforeAutospacing="1" w:after="119"/>
    </w:pPr>
    <w:rPr>
      <w:color w:val="000000"/>
    </w:rPr>
  </w:style>
  <w:style w:type="character" w:customStyle="1" w:styleId="UnresolvedMention2">
    <w:name w:val="Unresolved Mention2"/>
    <w:basedOn w:val="DefaultParagraphFont"/>
    <w:uiPriority w:val="99"/>
    <w:semiHidden/>
    <w:unhideWhenUsed/>
    <w:rsid w:val="00915DF4"/>
    <w:rPr>
      <w:color w:val="605E5C"/>
      <w:shd w:val="clear" w:color="auto" w:fill="E1DFDD"/>
    </w:rPr>
  </w:style>
  <w:style w:type="paragraph" w:customStyle="1" w:styleId="Titre1">
    <w:name w:val="Titre1"/>
    <w:next w:val="BodyText"/>
    <w:rsid w:val="006D6145"/>
    <w:pPr>
      <w:suppressAutoHyphens/>
      <w:spacing w:after="0" w:line="280" w:lineRule="atLeast"/>
    </w:pPr>
    <w:rPr>
      <w:rFonts w:ascii="Arial" w:eastAsia="Times New Roman" w:hAnsi="Arial" w:cs="Arial"/>
      <w:kern w:val="2"/>
      <w:sz w:val="24"/>
      <w:szCs w:val="20"/>
      <w:lang w:val="en-GB" w:eastAsia="en-GB"/>
    </w:rPr>
  </w:style>
  <w:style w:type="character" w:customStyle="1" w:styleId="normaltextrun">
    <w:name w:val="normaltextrun"/>
    <w:basedOn w:val="DefaultParagraphFont"/>
    <w:rsid w:val="007A4417"/>
  </w:style>
  <w:style w:type="paragraph" w:styleId="Bibliography">
    <w:name w:val="Bibliography"/>
    <w:basedOn w:val="Normal"/>
    <w:next w:val="Normal"/>
    <w:uiPriority w:val="37"/>
    <w:unhideWhenUsed/>
    <w:rsid w:val="0031651C"/>
    <w:pPr>
      <w:spacing w:after="200" w:line="360" w:lineRule="auto"/>
    </w:pPr>
    <w:rPr>
      <w:rFonts w:ascii="Calibri" w:eastAsiaTheme="minorHAnsi" w:hAnsi="Calibri" w:cstheme="minorBidi"/>
      <w:szCs w:val="22"/>
      <w:lang w:val="en-GB" w:eastAsia="en-US"/>
    </w:rPr>
  </w:style>
  <w:style w:type="character" w:customStyle="1" w:styleId="Heading5Char">
    <w:name w:val="Heading 5 Char"/>
    <w:basedOn w:val="DefaultParagraphFont"/>
    <w:link w:val="Heading5"/>
    <w:uiPriority w:val="9"/>
    <w:semiHidden/>
    <w:rsid w:val="00BF7B5C"/>
    <w:rPr>
      <w:rFonts w:asciiTheme="majorHAnsi" w:eastAsiaTheme="majorEastAsia" w:hAnsiTheme="majorHAnsi" w:cstheme="majorBidi"/>
      <w:color w:val="365F91" w:themeColor="accent1" w:themeShade="BF"/>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27149">
      <w:bodyDiv w:val="1"/>
      <w:marLeft w:val="0"/>
      <w:marRight w:val="0"/>
      <w:marTop w:val="0"/>
      <w:marBottom w:val="0"/>
      <w:divBdr>
        <w:top w:val="none" w:sz="0" w:space="0" w:color="auto"/>
        <w:left w:val="none" w:sz="0" w:space="0" w:color="auto"/>
        <w:bottom w:val="none" w:sz="0" w:space="0" w:color="auto"/>
        <w:right w:val="none" w:sz="0" w:space="0" w:color="auto"/>
      </w:divBdr>
    </w:div>
    <w:div w:id="69085352">
      <w:bodyDiv w:val="1"/>
      <w:marLeft w:val="0"/>
      <w:marRight w:val="0"/>
      <w:marTop w:val="0"/>
      <w:marBottom w:val="0"/>
      <w:divBdr>
        <w:top w:val="none" w:sz="0" w:space="0" w:color="auto"/>
        <w:left w:val="none" w:sz="0" w:space="0" w:color="auto"/>
        <w:bottom w:val="none" w:sz="0" w:space="0" w:color="auto"/>
        <w:right w:val="none" w:sz="0" w:space="0" w:color="auto"/>
      </w:divBdr>
      <w:divsChild>
        <w:div w:id="517621258">
          <w:marLeft w:val="0"/>
          <w:marRight w:val="0"/>
          <w:marTop w:val="0"/>
          <w:marBottom w:val="0"/>
          <w:divBdr>
            <w:top w:val="none" w:sz="0" w:space="0" w:color="auto"/>
            <w:left w:val="none" w:sz="0" w:space="0" w:color="auto"/>
            <w:bottom w:val="none" w:sz="0" w:space="0" w:color="auto"/>
            <w:right w:val="none" w:sz="0" w:space="0" w:color="auto"/>
          </w:divBdr>
          <w:divsChild>
            <w:div w:id="1922637256">
              <w:marLeft w:val="0"/>
              <w:marRight w:val="0"/>
              <w:marTop w:val="0"/>
              <w:marBottom w:val="0"/>
              <w:divBdr>
                <w:top w:val="none" w:sz="0" w:space="0" w:color="auto"/>
                <w:left w:val="none" w:sz="0" w:space="0" w:color="auto"/>
                <w:bottom w:val="none" w:sz="0" w:space="0" w:color="auto"/>
                <w:right w:val="none" w:sz="0" w:space="0" w:color="auto"/>
              </w:divBdr>
            </w:div>
          </w:divsChild>
        </w:div>
        <w:div w:id="592281368">
          <w:marLeft w:val="0"/>
          <w:marRight w:val="0"/>
          <w:marTop w:val="0"/>
          <w:marBottom w:val="0"/>
          <w:divBdr>
            <w:top w:val="none" w:sz="0" w:space="0" w:color="auto"/>
            <w:left w:val="none" w:sz="0" w:space="0" w:color="auto"/>
            <w:bottom w:val="none" w:sz="0" w:space="0" w:color="auto"/>
            <w:right w:val="none" w:sz="0" w:space="0" w:color="auto"/>
          </w:divBdr>
        </w:div>
        <w:div w:id="973020169">
          <w:marLeft w:val="0"/>
          <w:marRight w:val="0"/>
          <w:marTop w:val="0"/>
          <w:marBottom w:val="0"/>
          <w:divBdr>
            <w:top w:val="none" w:sz="0" w:space="0" w:color="auto"/>
            <w:left w:val="none" w:sz="0" w:space="0" w:color="auto"/>
            <w:bottom w:val="none" w:sz="0" w:space="0" w:color="auto"/>
            <w:right w:val="none" w:sz="0" w:space="0" w:color="auto"/>
          </w:divBdr>
        </w:div>
      </w:divsChild>
    </w:div>
    <w:div w:id="141778283">
      <w:bodyDiv w:val="1"/>
      <w:marLeft w:val="0"/>
      <w:marRight w:val="0"/>
      <w:marTop w:val="0"/>
      <w:marBottom w:val="0"/>
      <w:divBdr>
        <w:top w:val="none" w:sz="0" w:space="0" w:color="auto"/>
        <w:left w:val="none" w:sz="0" w:space="0" w:color="auto"/>
        <w:bottom w:val="none" w:sz="0" w:space="0" w:color="auto"/>
        <w:right w:val="none" w:sz="0" w:space="0" w:color="auto"/>
      </w:divBdr>
    </w:div>
    <w:div w:id="259030544">
      <w:bodyDiv w:val="1"/>
      <w:marLeft w:val="0"/>
      <w:marRight w:val="0"/>
      <w:marTop w:val="0"/>
      <w:marBottom w:val="0"/>
      <w:divBdr>
        <w:top w:val="none" w:sz="0" w:space="0" w:color="auto"/>
        <w:left w:val="none" w:sz="0" w:space="0" w:color="auto"/>
        <w:bottom w:val="none" w:sz="0" w:space="0" w:color="auto"/>
        <w:right w:val="none" w:sz="0" w:space="0" w:color="auto"/>
      </w:divBdr>
    </w:div>
    <w:div w:id="299313489">
      <w:bodyDiv w:val="1"/>
      <w:marLeft w:val="0"/>
      <w:marRight w:val="0"/>
      <w:marTop w:val="0"/>
      <w:marBottom w:val="0"/>
      <w:divBdr>
        <w:top w:val="none" w:sz="0" w:space="0" w:color="auto"/>
        <w:left w:val="none" w:sz="0" w:space="0" w:color="auto"/>
        <w:bottom w:val="none" w:sz="0" w:space="0" w:color="auto"/>
        <w:right w:val="none" w:sz="0" w:space="0" w:color="auto"/>
      </w:divBdr>
    </w:div>
    <w:div w:id="583995199">
      <w:bodyDiv w:val="1"/>
      <w:marLeft w:val="0"/>
      <w:marRight w:val="0"/>
      <w:marTop w:val="0"/>
      <w:marBottom w:val="0"/>
      <w:divBdr>
        <w:top w:val="none" w:sz="0" w:space="0" w:color="auto"/>
        <w:left w:val="none" w:sz="0" w:space="0" w:color="auto"/>
        <w:bottom w:val="none" w:sz="0" w:space="0" w:color="auto"/>
        <w:right w:val="none" w:sz="0" w:space="0" w:color="auto"/>
      </w:divBdr>
    </w:div>
    <w:div w:id="695237076">
      <w:bodyDiv w:val="1"/>
      <w:marLeft w:val="0"/>
      <w:marRight w:val="0"/>
      <w:marTop w:val="0"/>
      <w:marBottom w:val="0"/>
      <w:divBdr>
        <w:top w:val="none" w:sz="0" w:space="0" w:color="auto"/>
        <w:left w:val="none" w:sz="0" w:space="0" w:color="auto"/>
        <w:bottom w:val="none" w:sz="0" w:space="0" w:color="auto"/>
        <w:right w:val="none" w:sz="0" w:space="0" w:color="auto"/>
      </w:divBdr>
    </w:div>
    <w:div w:id="831142898">
      <w:bodyDiv w:val="1"/>
      <w:marLeft w:val="0"/>
      <w:marRight w:val="0"/>
      <w:marTop w:val="0"/>
      <w:marBottom w:val="0"/>
      <w:divBdr>
        <w:top w:val="none" w:sz="0" w:space="0" w:color="auto"/>
        <w:left w:val="none" w:sz="0" w:space="0" w:color="auto"/>
        <w:bottom w:val="none" w:sz="0" w:space="0" w:color="auto"/>
        <w:right w:val="none" w:sz="0" w:space="0" w:color="auto"/>
      </w:divBdr>
    </w:div>
    <w:div w:id="942297592">
      <w:bodyDiv w:val="1"/>
      <w:marLeft w:val="0"/>
      <w:marRight w:val="0"/>
      <w:marTop w:val="0"/>
      <w:marBottom w:val="0"/>
      <w:divBdr>
        <w:top w:val="none" w:sz="0" w:space="0" w:color="auto"/>
        <w:left w:val="none" w:sz="0" w:space="0" w:color="auto"/>
        <w:bottom w:val="none" w:sz="0" w:space="0" w:color="auto"/>
        <w:right w:val="none" w:sz="0" w:space="0" w:color="auto"/>
      </w:divBdr>
    </w:div>
    <w:div w:id="983780909">
      <w:bodyDiv w:val="1"/>
      <w:marLeft w:val="0"/>
      <w:marRight w:val="0"/>
      <w:marTop w:val="0"/>
      <w:marBottom w:val="0"/>
      <w:divBdr>
        <w:top w:val="none" w:sz="0" w:space="0" w:color="auto"/>
        <w:left w:val="none" w:sz="0" w:space="0" w:color="auto"/>
        <w:bottom w:val="none" w:sz="0" w:space="0" w:color="auto"/>
        <w:right w:val="none" w:sz="0" w:space="0" w:color="auto"/>
      </w:divBdr>
    </w:div>
    <w:div w:id="991063012">
      <w:bodyDiv w:val="1"/>
      <w:marLeft w:val="0"/>
      <w:marRight w:val="0"/>
      <w:marTop w:val="0"/>
      <w:marBottom w:val="0"/>
      <w:divBdr>
        <w:top w:val="none" w:sz="0" w:space="0" w:color="auto"/>
        <w:left w:val="none" w:sz="0" w:space="0" w:color="auto"/>
        <w:bottom w:val="none" w:sz="0" w:space="0" w:color="auto"/>
        <w:right w:val="none" w:sz="0" w:space="0" w:color="auto"/>
      </w:divBdr>
    </w:div>
    <w:div w:id="1185752955">
      <w:bodyDiv w:val="1"/>
      <w:marLeft w:val="0"/>
      <w:marRight w:val="0"/>
      <w:marTop w:val="0"/>
      <w:marBottom w:val="0"/>
      <w:divBdr>
        <w:top w:val="none" w:sz="0" w:space="0" w:color="auto"/>
        <w:left w:val="none" w:sz="0" w:space="0" w:color="auto"/>
        <w:bottom w:val="none" w:sz="0" w:space="0" w:color="auto"/>
        <w:right w:val="none" w:sz="0" w:space="0" w:color="auto"/>
      </w:divBdr>
    </w:div>
    <w:div w:id="1194879850">
      <w:bodyDiv w:val="1"/>
      <w:marLeft w:val="0"/>
      <w:marRight w:val="0"/>
      <w:marTop w:val="0"/>
      <w:marBottom w:val="0"/>
      <w:divBdr>
        <w:top w:val="none" w:sz="0" w:space="0" w:color="auto"/>
        <w:left w:val="none" w:sz="0" w:space="0" w:color="auto"/>
        <w:bottom w:val="none" w:sz="0" w:space="0" w:color="auto"/>
        <w:right w:val="none" w:sz="0" w:space="0" w:color="auto"/>
      </w:divBdr>
    </w:div>
    <w:div w:id="1196118712">
      <w:bodyDiv w:val="1"/>
      <w:marLeft w:val="0"/>
      <w:marRight w:val="0"/>
      <w:marTop w:val="0"/>
      <w:marBottom w:val="0"/>
      <w:divBdr>
        <w:top w:val="none" w:sz="0" w:space="0" w:color="auto"/>
        <w:left w:val="none" w:sz="0" w:space="0" w:color="auto"/>
        <w:bottom w:val="none" w:sz="0" w:space="0" w:color="auto"/>
        <w:right w:val="none" w:sz="0" w:space="0" w:color="auto"/>
      </w:divBdr>
    </w:div>
    <w:div w:id="1248929044">
      <w:bodyDiv w:val="1"/>
      <w:marLeft w:val="0"/>
      <w:marRight w:val="0"/>
      <w:marTop w:val="0"/>
      <w:marBottom w:val="0"/>
      <w:divBdr>
        <w:top w:val="none" w:sz="0" w:space="0" w:color="auto"/>
        <w:left w:val="none" w:sz="0" w:space="0" w:color="auto"/>
        <w:bottom w:val="none" w:sz="0" w:space="0" w:color="auto"/>
        <w:right w:val="none" w:sz="0" w:space="0" w:color="auto"/>
      </w:divBdr>
    </w:div>
    <w:div w:id="1252815393">
      <w:bodyDiv w:val="1"/>
      <w:marLeft w:val="0"/>
      <w:marRight w:val="0"/>
      <w:marTop w:val="0"/>
      <w:marBottom w:val="0"/>
      <w:divBdr>
        <w:top w:val="none" w:sz="0" w:space="0" w:color="auto"/>
        <w:left w:val="none" w:sz="0" w:space="0" w:color="auto"/>
        <w:bottom w:val="none" w:sz="0" w:space="0" w:color="auto"/>
        <w:right w:val="none" w:sz="0" w:space="0" w:color="auto"/>
      </w:divBdr>
    </w:div>
    <w:div w:id="1260672558">
      <w:bodyDiv w:val="1"/>
      <w:marLeft w:val="0"/>
      <w:marRight w:val="0"/>
      <w:marTop w:val="0"/>
      <w:marBottom w:val="0"/>
      <w:divBdr>
        <w:top w:val="none" w:sz="0" w:space="0" w:color="auto"/>
        <w:left w:val="none" w:sz="0" w:space="0" w:color="auto"/>
        <w:bottom w:val="none" w:sz="0" w:space="0" w:color="auto"/>
        <w:right w:val="none" w:sz="0" w:space="0" w:color="auto"/>
      </w:divBdr>
    </w:div>
    <w:div w:id="1266768571">
      <w:bodyDiv w:val="1"/>
      <w:marLeft w:val="0"/>
      <w:marRight w:val="0"/>
      <w:marTop w:val="0"/>
      <w:marBottom w:val="0"/>
      <w:divBdr>
        <w:top w:val="none" w:sz="0" w:space="0" w:color="auto"/>
        <w:left w:val="none" w:sz="0" w:space="0" w:color="auto"/>
        <w:bottom w:val="none" w:sz="0" w:space="0" w:color="auto"/>
        <w:right w:val="none" w:sz="0" w:space="0" w:color="auto"/>
      </w:divBdr>
    </w:div>
    <w:div w:id="1486775722">
      <w:bodyDiv w:val="1"/>
      <w:marLeft w:val="0"/>
      <w:marRight w:val="0"/>
      <w:marTop w:val="0"/>
      <w:marBottom w:val="0"/>
      <w:divBdr>
        <w:top w:val="none" w:sz="0" w:space="0" w:color="auto"/>
        <w:left w:val="none" w:sz="0" w:space="0" w:color="auto"/>
        <w:bottom w:val="none" w:sz="0" w:space="0" w:color="auto"/>
        <w:right w:val="none" w:sz="0" w:space="0" w:color="auto"/>
      </w:divBdr>
    </w:div>
    <w:div w:id="1536847136">
      <w:bodyDiv w:val="1"/>
      <w:marLeft w:val="0"/>
      <w:marRight w:val="0"/>
      <w:marTop w:val="0"/>
      <w:marBottom w:val="0"/>
      <w:divBdr>
        <w:top w:val="none" w:sz="0" w:space="0" w:color="auto"/>
        <w:left w:val="none" w:sz="0" w:space="0" w:color="auto"/>
        <w:bottom w:val="none" w:sz="0" w:space="0" w:color="auto"/>
        <w:right w:val="none" w:sz="0" w:space="0" w:color="auto"/>
      </w:divBdr>
    </w:div>
    <w:div w:id="1828743459">
      <w:bodyDiv w:val="1"/>
      <w:marLeft w:val="0"/>
      <w:marRight w:val="0"/>
      <w:marTop w:val="0"/>
      <w:marBottom w:val="0"/>
      <w:divBdr>
        <w:top w:val="none" w:sz="0" w:space="0" w:color="auto"/>
        <w:left w:val="none" w:sz="0" w:space="0" w:color="auto"/>
        <w:bottom w:val="none" w:sz="0" w:space="0" w:color="auto"/>
        <w:right w:val="none" w:sz="0" w:space="0" w:color="auto"/>
      </w:divBdr>
    </w:div>
    <w:div w:id="1829127881">
      <w:bodyDiv w:val="1"/>
      <w:marLeft w:val="0"/>
      <w:marRight w:val="0"/>
      <w:marTop w:val="0"/>
      <w:marBottom w:val="0"/>
      <w:divBdr>
        <w:top w:val="none" w:sz="0" w:space="0" w:color="auto"/>
        <w:left w:val="none" w:sz="0" w:space="0" w:color="auto"/>
        <w:bottom w:val="none" w:sz="0" w:space="0" w:color="auto"/>
        <w:right w:val="none" w:sz="0" w:space="0" w:color="auto"/>
      </w:divBdr>
    </w:div>
    <w:div w:id="1842156837">
      <w:bodyDiv w:val="1"/>
      <w:marLeft w:val="0"/>
      <w:marRight w:val="0"/>
      <w:marTop w:val="0"/>
      <w:marBottom w:val="0"/>
      <w:divBdr>
        <w:top w:val="none" w:sz="0" w:space="0" w:color="auto"/>
        <w:left w:val="none" w:sz="0" w:space="0" w:color="auto"/>
        <w:bottom w:val="none" w:sz="0" w:space="0" w:color="auto"/>
        <w:right w:val="none" w:sz="0" w:space="0" w:color="auto"/>
      </w:divBdr>
    </w:div>
    <w:div w:id="1970895605">
      <w:bodyDiv w:val="1"/>
      <w:marLeft w:val="0"/>
      <w:marRight w:val="0"/>
      <w:marTop w:val="0"/>
      <w:marBottom w:val="0"/>
      <w:divBdr>
        <w:top w:val="none" w:sz="0" w:space="0" w:color="auto"/>
        <w:left w:val="none" w:sz="0" w:space="0" w:color="auto"/>
        <w:bottom w:val="none" w:sz="0" w:space="0" w:color="auto"/>
        <w:right w:val="none" w:sz="0" w:space="0" w:color="auto"/>
      </w:divBdr>
    </w:div>
    <w:div w:id="2033452326">
      <w:bodyDiv w:val="1"/>
      <w:marLeft w:val="0"/>
      <w:marRight w:val="0"/>
      <w:marTop w:val="0"/>
      <w:marBottom w:val="0"/>
      <w:divBdr>
        <w:top w:val="none" w:sz="0" w:space="0" w:color="auto"/>
        <w:left w:val="none" w:sz="0" w:space="0" w:color="auto"/>
        <w:bottom w:val="none" w:sz="0" w:space="0" w:color="auto"/>
        <w:right w:val="none" w:sz="0" w:space="0" w:color="auto"/>
      </w:divBdr>
    </w:div>
    <w:div w:id="2039813162">
      <w:bodyDiv w:val="1"/>
      <w:marLeft w:val="0"/>
      <w:marRight w:val="0"/>
      <w:marTop w:val="0"/>
      <w:marBottom w:val="0"/>
      <w:divBdr>
        <w:top w:val="none" w:sz="0" w:space="0" w:color="auto"/>
        <w:left w:val="none" w:sz="0" w:space="0" w:color="auto"/>
        <w:bottom w:val="none" w:sz="0" w:space="0" w:color="auto"/>
        <w:right w:val="none" w:sz="0" w:space="0" w:color="auto"/>
      </w:divBdr>
    </w:div>
    <w:div w:id="2057003347">
      <w:bodyDiv w:val="1"/>
      <w:marLeft w:val="0"/>
      <w:marRight w:val="0"/>
      <w:marTop w:val="0"/>
      <w:marBottom w:val="0"/>
      <w:divBdr>
        <w:top w:val="none" w:sz="0" w:space="0" w:color="auto"/>
        <w:left w:val="none" w:sz="0" w:space="0" w:color="auto"/>
        <w:bottom w:val="none" w:sz="0" w:space="0" w:color="auto"/>
        <w:right w:val="none" w:sz="0" w:space="0" w:color="auto"/>
      </w:divBdr>
    </w:div>
    <w:div w:id="2077626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qsr2010.ospar.org/en/media/content_pdf/ch10/QSR_CH10_EN_Tab_10_3.pdf" TargetMode="Externa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yperlink" Target="https://www.ospar.org/documents?v=7229"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qsr2010.ospar.org/en/media/content_pdf/ch10/QSR_CH10_EN_Tab_10_2.pdf" TargetMode="External"/><Relationship Id="rId25" Type="http://schemas.openxmlformats.org/officeDocument/2006/relationships/image" Target="media/image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2.jpeg"/><Relationship Id="rId28"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jpeg"/><Relationship Id="rId27" Type="http://schemas.openxmlformats.org/officeDocument/2006/relationships/hyperlink" Target="https://water.europa.eu/freshwater/data-maps-and-tools/water-framework-directive-surface-water-data-products/surface-water-chemical-status" TargetMode="External"/><Relationship Id="rId30" Type="http://schemas.openxmlformats.org/officeDocument/2006/relationships/hyperlink" Target="https://nasco.int/conservation/implementation-plans-and-reporting/" TargetMode="External"/><Relationship Id="rId8" Type="http://schemas.openxmlformats.org/officeDocument/2006/relationships/webSettings" Target="webSetting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8" ma:contentTypeDescription="Create a new document." ma:contentTypeScope="" ma:versionID="beb7f4236850d98cf3456d42c58d1fac">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ec90873063724872d61c3fe8ae2617ce"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42100-E3DE-43C2-A077-4B513E2B236A}">
  <ds:schemaRefs>
    <ds:schemaRef ds:uri="http://purl.org/dc/dcmitype/"/>
    <ds:schemaRef ds:uri="http://schemas.microsoft.com/office/infopath/2007/PartnerControls"/>
    <ds:schemaRef ds:uri="http://purl.org/dc/elements/1.1/"/>
    <ds:schemaRef ds:uri="http://schemas.microsoft.com/office/2006/metadata/properties"/>
    <ds:schemaRef ds:uri="f31b975e-9f95-43f8-bceb-c8da0191c532"/>
    <ds:schemaRef ds:uri="http://schemas.microsoft.com/office/2006/documentManagement/types"/>
    <ds:schemaRef ds:uri="http://purl.org/dc/terms/"/>
    <ds:schemaRef ds:uri="1f898dab-be0d-4083-828d-22bbb232dacd"/>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FC468901-014B-4C9D-8A69-7A31C66E07A0}">
  <ds:schemaRefs>
    <ds:schemaRef ds:uri="http://schemas.microsoft.com/sharepoint/v3/contenttype/forms"/>
  </ds:schemaRefs>
</ds:datastoreItem>
</file>

<file path=customXml/itemProps3.xml><?xml version="1.0" encoding="utf-8"?>
<ds:datastoreItem xmlns:ds="http://schemas.openxmlformats.org/officeDocument/2006/customXml" ds:itemID="{F1424B52-BF85-41F4-A0DF-8448406C7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3E9F5A3-FDC7-4FC4-9851-C01292ACDE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23614</Words>
  <Characters>134602</Characters>
  <Application>Microsoft Office Word</Application>
  <DocSecurity>4</DocSecurity>
  <Lines>1121</Lines>
  <Paragraphs>315</Paragraphs>
  <ScaleCrop>false</ScaleCrop>
  <Company>Bundesamt für Naturschutz</Company>
  <LinksUpToDate>false</LinksUpToDate>
  <CharactersWithSpaces>157901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Nina Schroeder</dc:creator>
  <cp:keywords/>
  <cp:lastModifiedBy>Olle Akesson</cp:lastModifiedBy>
  <cp:revision>59</cp:revision>
  <cp:lastPrinted>2020-02-29T05:01:00Z</cp:lastPrinted>
  <dcterms:created xsi:type="dcterms:W3CDTF">2022-03-10T22:49:00Z</dcterms:created>
  <dcterms:modified xsi:type="dcterms:W3CDTF">2022-10-21T18:36:00Z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7th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 6th edition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http://www.zotero.org/styles/ieee</vt:lpwstr>
  </property>
  <property fmtid="{D5CDD505-2E9C-101B-9397-08002B2CF9AE}" pid="14" name="Mendeley Recent Style Name 5_1">
    <vt:lpwstr>IEEE</vt:lpwstr>
  </property>
  <property fmtid="{D5CDD505-2E9C-101B-9397-08002B2CF9AE}" pid="15" name="Mendeley Recent Style Id 6_1">
    <vt:lpwstr>http://www.zotero.org/styles/marine-ecology-progress-series</vt:lpwstr>
  </property>
  <property fmtid="{D5CDD505-2E9C-101B-9397-08002B2CF9AE}" pid="16" name="Mendeley Recent Style Name 6_1">
    <vt:lpwstr>Marine Ecology Progress Series</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0052cfcd-2888-3d61-954e-d5ce06775f04</vt:lpwstr>
  </property>
  <property fmtid="{D5CDD505-2E9C-101B-9397-08002B2CF9AE}" pid="25" name="Mendeley Citation Style_1">
    <vt:lpwstr>http://www.zotero.org/styles/marine-ecology-progress-series</vt:lpwstr>
  </property>
  <property fmtid="{D5CDD505-2E9C-101B-9397-08002B2CF9AE}" pid="26" name="MediaServiceImageTags">
    <vt:lpwstr/>
  </property>
  <property fmtid="{D5CDD505-2E9C-101B-9397-08002B2CF9AE}" pid="27" name="MSIP_Label_a0c2ddd0-afbf-49e4-8b02-da81def1ba6b_Enabled">
    <vt:lpwstr>True</vt:lpwstr>
  </property>
  <property fmtid="{D5CDD505-2E9C-101B-9397-08002B2CF9AE}" pid="28" name="MSIP_Label_a0c2ddd0-afbf-49e4-8b02-da81def1ba6b_SiteId">
    <vt:lpwstr>eeea3199-afa0-41eb-bbf2-f6e42c3da7cf</vt:lpwstr>
  </property>
  <property fmtid="{D5CDD505-2E9C-101B-9397-08002B2CF9AE}" pid="29" name="MSIP_Label_a0c2ddd0-afbf-49e4-8b02-da81def1ba6b_Owner">
    <vt:lpwstr>chris.lynam@cefas.co.uk</vt:lpwstr>
  </property>
  <property fmtid="{D5CDD505-2E9C-101B-9397-08002B2CF9AE}" pid="30" name="MSIP_Label_a0c2ddd0-afbf-49e4-8b02-da81def1ba6b_SetDate">
    <vt:lpwstr>2022-10-21T10:36:21.3727967Z</vt:lpwstr>
  </property>
  <property fmtid="{D5CDD505-2E9C-101B-9397-08002B2CF9AE}" pid="31" name="MSIP_Label_a0c2ddd0-afbf-49e4-8b02-da81def1ba6b_Name">
    <vt:lpwstr>Official</vt:lpwstr>
  </property>
  <property fmtid="{D5CDD505-2E9C-101B-9397-08002B2CF9AE}" pid="32" name="MSIP_Label_a0c2ddd0-afbf-49e4-8b02-da81def1ba6b_Application">
    <vt:lpwstr>Microsoft Azure Information Protection</vt:lpwstr>
  </property>
  <property fmtid="{D5CDD505-2E9C-101B-9397-08002B2CF9AE}" pid="33" name="MSIP_Label_a0c2ddd0-afbf-49e4-8b02-da81def1ba6b_ActionId">
    <vt:lpwstr>6ce4399f-2720-4f7c-bc9c-d9c6cb5657f8</vt:lpwstr>
  </property>
  <property fmtid="{D5CDD505-2E9C-101B-9397-08002B2CF9AE}" pid="34" name="MSIP_Label_a0c2ddd0-afbf-49e4-8b02-da81def1ba6b_Extended_MSFT_Method">
    <vt:lpwstr>Automatic</vt:lpwstr>
  </property>
  <property fmtid="{D5CDD505-2E9C-101B-9397-08002B2CF9AE}" pid="35" name="Sensitivity">
    <vt:lpwstr>Official</vt:lpwstr>
  </property>
</Properties>
</file>